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861072" w:rsidRDefault="00E77CB3" w:rsidP="00861072">
      <w:pPr>
        <w:jc w:val="center"/>
        <w:rPr>
          <w:lang w:val="es-AR"/>
        </w:rPr>
      </w:pPr>
      <w:bookmarkStart w:id="0" w:name="_GoBack"/>
      <w:bookmarkEnd w:id="0"/>
    </w:p>
    <w:p w:rsidR="00647103" w:rsidRPr="00861072" w:rsidRDefault="00647103" w:rsidP="00861072">
      <w:pPr>
        <w:jc w:val="center"/>
        <w:rPr>
          <w:lang w:val="es-AR"/>
        </w:rPr>
      </w:pPr>
    </w:p>
    <w:p w:rsidR="00647103" w:rsidRPr="00861072" w:rsidRDefault="00647103" w:rsidP="00861072">
      <w:pPr>
        <w:jc w:val="center"/>
        <w:rPr>
          <w:lang w:val="es-AR"/>
        </w:rPr>
      </w:pPr>
    </w:p>
    <w:p w:rsidR="00E77CB3" w:rsidRPr="00861072" w:rsidRDefault="00E52443" w:rsidP="00861072">
      <w:pPr>
        <w:jc w:val="center"/>
        <w:rPr>
          <w:lang w:val="fr-FR"/>
        </w:rPr>
      </w:pPr>
      <w:r w:rsidRPr="00861072">
        <w:rPr>
          <w:lang w:val="fr-FR"/>
        </w:rPr>
        <w:t>PREMIÈRE SECTION</w:t>
      </w:r>
    </w:p>
    <w:p w:rsidR="00E77CB3" w:rsidRPr="00861072" w:rsidRDefault="00E77CB3" w:rsidP="00861072">
      <w:pPr>
        <w:jc w:val="center"/>
        <w:rPr>
          <w:lang w:val="fr-FR"/>
        </w:rPr>
      </w:pPr>
    </w:p>
    <w:p w:rsidR="00647103" w:rsidRPr="00861072" w:rsidRDefault="00647103" w:rsidP="00861072">
      <w:pPr>
        <w:jc w:val="center"/>
        <w:rPr>
          <w:lang w:val="fr-FR"/>
        </w:rPr>
      </w:pPr>
    </w:p>
    <w:p w:rsidR="00647103" w:rsidRPr="00861072" w:rsidRDefault="00647103" w:rsidP="00861072">
      <w:pPr>
        <w:jc w:val="center"/>
        <w:rPr>
          <w:lang w:val="fr-FR"/>
        </w:rPr>
      </w:pPr>
    </w:p>
    <w:p w:rsidR="00647103" w:rsidRPr="00861072" w:rsidRDefault="00647103" w:rsidP="00861072">
      <w:pPr>
        <w:jc w:val="center"/>
        <w:rPr>
          <w:lang w:val="fr-FR"/>
        </w:rPr>
      </w:pPr>
    </w:p>
    <w:p w:rsidR="00647103" w:rsidRPr="00861072" w:rsidRDefault="00647103" w:rsidP="00861072">
      <w:pPr>
        <w:jc w:val="center"/>
        <w:rPr>
          <w:lang w:val="fr-FR"/>
        </w:rPr>
      </w:pPr>
    </w:p>
    <w:p w:rsidR="00647103" w:rsidRPr="00861072" w:rsidRDefault="00647103" w:rsidP="00861072">
      <w:pPr>
        <w:jc w:val="center"/>
        <w:rPr>
          <w:lang w:val="fr-FR"/>
        </w:rPr>
      </w:pPr>
    </w:p>
    <w:p w:rsidR="00E77CB3" w:rsidRPr="00861072" w:rsidRDefault="00E77CB3" w:rsidP="00861072">
      <w:pPr>
        <w:jc w:val="center"/>
        <w:rPr>
          <w:b/>
          <w:lang w:val="fr-FR"/>
        </w:rPr>
      </w:pPr>
      <w:bookmarkStart w:id="1" w:name="To"/>
      <w:r w:rsidRPr="00861072">
        <w:rPr>
          <w:b/>
          <w:lang w:val="fr-FR"/>
        </w:rPr>
        <w:t xml:space="preserve">AFFAIRE </w:t>
      </w:r>
      <w:bookmarkEnd w:id="1"/>
      <w:r w:rsidR="00E52443" w:rsidRPr="00861072">
        <w:rPr>
          <w:b/>
          <w:lang w:val="fr-FR"/>
        </w:rPr>
        <w:t>CONTI ET LORI c. ITALIE</w:t>
      </w:r>
    </w:p>
    <w:p w:rsidR="00E77CB3" w:rsidRPr="00861072" w:rsidRDefault="00E77CB3" w:rsidP="00861072">
      <w:pPr>
        <w:jc w:val="center"/>
        <w:rPr>
          <w:lang w:val="fr-FR"/>
        </w:rPr>
      </w:pPr>
    </w:p>
    <w:p w:rsidR="00647103" w:rsidRPr="00861072" w:rsidRDefault="00E77CB3" w:rsidP="00861072">
      <w:pPr>
        <w:jc w:val="center"/>
        <w:rPr>
          <w:rFonts w:ascii="Times New Roman" w:hAnsi="Times New Roman" w:cs="Times New Roman"/>
          <w:color w:val="000000"/>
          <w:lang w:val="fr-FR"/>
        </w:rPr>
      </w:pPr>
      <w:r w:rsidRPr="00861072">
        <w:rPr>
          <w:i/>
          <w:lang w:val="fr-FR"/>
        </w:rPr>
        <w:t>(</w:t>
      </w:r>
      <w:r w:rsidR="00E52443" w:rsidRPr="00861072">
        <w:rPr>
          <w:i/>
          <w:lang w:val="fr-FR"/>
        </w:rPr>
        <w:t>Requête n</w:t>
      </w:r>
      <w:r w:rsidR="00E52443" w:rsidRPr="00861072">
        <w:rPr>
          <w:i/>
          <w:vertAlign w:val="superscript"/>
          <w:lang w:val="fr-FR"/>
        </w:rPr>
        <w:t>o</w:t>
      </w:r>
      <w:r w:rsidR="00E52443" w:rsidRPr="00861072">
        <w:rPr>
          <w:i/>
          <w:lang w:val="fr-FR"/>
        </w:rPr>
        <w:t xml:space="preserve"> 17527/05</w:t>
      </w:r>
      <w:r w:rsidRPr="00861072">
        <w:rPr>
          <w:i/>
          <w:lang w:val="fr-FR"/>
        </w:rPr>
        <w:t>)</w:t>
      </w:r>
    </w:p>
    <w:p w:rsidR="00647103" w:rsidRPr="00861072" w:rsidRDefault="00647103" w:rsidP="00861072">
      <w:pPr>
        <w:jc w:val="center"/>
        <w:rPr>
          <w:rFonts w:ascii="Times New Roman" w:hAnsi="Times New Roman" w:cs="Times New Roman"/>
          <w:color w:val="000000"/>
          <w:lang w:val="fr-FR"/>
        </w:rPr>
      </w:pPr>
    </w:p>
    <w:p w:rsidR="00647103" w:rsidRPr="00861072" w:rsidRDefault="00647103" w:rsidP="00861072">
      <w:pPr>
        <w:jc w:val="center"/>
        <w:rPr>
          <w:rFonts w:ascii="Times New Roman" w:hAnsi="Times New Roman" w:cs="Times New Roman"/>
          <w:color w:val="000000"/>
          <w:lang w:val="fr-FR"/>
        </w:rPr>
      </w:pPr>
    </w:p>
    <w:p w:rsidR="00647103" w:rsidRPr="00861072" w:rsidRDefault="00647103" w:rsidP="00861072">
      <w:pPr>
        <w:jc w:val="center"/>
        <w:rPr>
          <w:rFonts w:ascii="Times New Roman" w:hAnsi="Times New Roman" w:cs="Times New Roman"/>
          <w:color w:val="000000"/>
          <w:lang w:val="fr-FR"/>
        </w:rPr>
      </w:pPr>
    </w:p>
    <w:p w:rsidR="00647103" w:rsidRPr="00861072" w:rsidRDefault="00647103" w:rsidP="00861072">
      <w:pPr>
        <w:jc w:val="center"/>
        <w:rPr>
          <w:rFonts w:ascii="Times New Roman" w:hAnsi="Times New Roman" w:cs="Times New Roman"/>
          <w:color w:val="000000"/>
          <w:lang w:val="fr-FR"/>
        </w:rPr>
      </w:pPr>
    </w:p>
    <w:p w:rsidR="00647103" w:rsidRPr="00861072" w:rsidRDefault="00647103" w:rsidP="00861072">
      <w:pPr>
        <w:jc w:val="center"/>
        <w:rPr>
          <w:rFonts w:ascii="Times New Roman" w:hAnsi="Times New Roman" w:cs="Times New Roman"/>
          <w:color w:val="000000"/>
          <w:lang w:val="fr-FR"/>
        </w:rPr>
      </w:pPr>
    </w:p>
    <w:p w:rsidR="00647103" w:rsidRPr="00861072" w:rsidRDefault="00647103" w:rsidP="00861072">
      <w:pPr>
        <w:jc w:val="center"/>
        <w:rPr>
          <w:rFonts w:ascii="Times New Roman" w:hAnsi="Times New Roman" w:cs="Times New Roman"/>
          <w:color w:val="000000"/>
          <w:lang w:val="fr-FR"/>
        </w:rPr>
      </w:pPr>
    </w:p>
    <w:p w:rsidR="00861072" w:rsidRPr="00861072" w:rsidRDefault="00861072" w:rsidP="00861072">
      <w:pPr>
        <w:jc w:val="center"/>
        <w:rPr>
          <w:rFonts w:ascii="Times New Roman" w:hAnsi="Times New Roman" w:cs="Times New Roman"/>
          <w:color w:val="000000"/>
          <w:lang w:val="fr-FR"/>
        </w:rPr>
      </w:pPr>
    </w:p>
    <w:p w:rsidR="00861072" w:rsidRPr="00861072" w:rsidRDefault="00861072" w:rsidP="00861072">
      <w:pPr>
        <w:jc w:val="center"/>
        <w:rPr>
          <w:rFonts w:ascii="Times New Roman" w:hAnsi="Times New Roman" w:cs="Times New Roman"/>
          <w:color w:val="000000"/>
          <w:lang w:val="fr-FR"/>
        </w:rPr>
      </w:pPr>
    </w:p>
    <w:p w:rsidR="00861072" w:rsidRPr="00861072" w:rsidRDefault="00861072" w:rsidP="00861072">
      <w:pPr>
        <w:jc w:val="center"/>
        <w:rPr>
          <w:rFonts w:ascii="Times New Roman" w:hAnsi="Times New Roman" w:cs="Times New Roman"/>
          <w:color w:val="000000"/>
          <w:lang w:val="fr-FR"/>
        </w:rPr>
      </w:pPr>
    </w:p>
    <w:p w:rsidR="00861072" w:rsidRPr="00861072" w:rsidRDefault="00861072" w:rsidP="00861072">
      <w:pPr>
        <w:jc w:val="center"/>
        <w:rPr>
          <w:lang w:val="es-AR"/>
        </w:rPr>
      </w:pPr>
    </w:p>
    <w:p w:rsidR="00647103" w:rsidRPr="00861072" w:rsidRDefault="00647103" w:rsidP="00861072">
      <w:pPr>
        <w:jc w:val="center"/>
        <w:rPr>
          <w:lang w:val="es-AR"/>
        </w:rPr>
      </w:pPr>
    </w:p>
    <w:p w:rsidR="00647103" w:rsidRPr="00861072" w:rsidRDefault="00647103" w:rsidP="00861072">
      <w:pPr>
        <w:jc w:val="center"/>
        <w:rPr>
          <w:lang w:val="es-AR"/>
        </w:rPr>
      </w:pPr>
    </w:p>
    <w:p w:rsidR="00647103" w:rsidRPr="00861072" w:rsidRDefault="00647103" w:rsidP="00861072">
      <w:pPr>
        <w:jc w:val="center"/>
        <w:rPr>
          <w:lang w:val="es-AR"/>
        </w:rPr>
      </w:pPr>
    </w:p>
    <w:p w:rsidR="009A2404" w:rsidRPr="00861072" w:rsidRDefault="00647103" w:rsidP="00861072">
      <w:pPr>
        <w:jc w:val="center"/>
        <w:rPr>
          <w:lang w:val="es-AR"/>
        </w:rPr>
      </w:pPr>
      <w:r w:rsidRPr="00861072">
        <w:rPr>
          <w:lang w:val="es-AR"/>
        </w:rPr>
        <w:t>ARRÊT</w:t>
      </w:r>
    </w:p>
    <w:p w:rsidR="00647103" w:rsidRPr="00861072" w:rsidRDefault="00647103" w:rsidP="00861072">
      <w:pPr>
        <w:jc w:val="center"/>
        <w:rPr>
          <w:lang w:val="es-AR"/>
        </w:rPr>
      </w:pPr>
    </w:p>
    <w:p w:rsidR="00647103" w:rsidRPr="00861072" w:rsidRDefault="00647103" w:rsidP="00861072">
      <w:pPr>
        <w:jc w:val="center"/>
        <w:rPr>
          <w:lang w:val="es-AR"/>
        </w:rPr>
      </w:pPr>
    </w:p>
    <w:p w:rsidR="00647103" w:rsidRPr="00861072" w:rsidRDefault="00647103" w:rsidP="00861072">
      <w:pPr>
        <w:jc w:val="center"/>
        <w:rPr>
          <w:lang w:val="es-AR"/>
        </w:rPr>
      </w:pPr>
    </w:p>
    <w:p w:rsidR="00647103" w:rsidRPr="00861072" w:rsidRDefault="00647103" w:rsidP="00861072">
      <w:pPr>
        <w:jc w:val="center"/>
        <w:rPr>
          <w:lang w:val="es-AR"/>
        </w:rPr>
      </w:pPr>
      <w:r w:rsidRPr="00861072">
        <w:rPr>
          <w:lang w:val="es-AR"/>
        </w:rPr>
        <w:t>STRASBOURG</w:t>
      </w:r>
    </w:p>
    <w:p w:rsidR="00647103" w:rsidRPr="00861072" w:rsidRDefault="00647103" w:rsidP="00861072">
      <w:pPr>
        <w:jc w:val="center"/>
        <w:rPr>
          <w:lang w:val="es-AR"/>
        </w:rPr>
      </w:pPr>
    </w:p>
    <w:p w:rsidR="00647103" w:rsidRPr="00861072" w:rsidRDefault="003C726B" w:rsidP="00861072">
      <w:pPr>
        <w:jc w:val="center"/>
        <w:rPr>
          <w:lang w:val="es-AR"/>
        </w:rPr>
      </w:pPr>
      <w:r w:rsidRPr="00861072">
        <w:rPr>
          <w:lang w:val="es-AR"/>
        </w:rPr>
        <w:t>16 novembre 2017</w:t>
      </w:r>
    </w:p>
    <w:p w:rsidR="00647103" w:rsidRPr="00861072" w:rsidRDefault="00647103" w:rsidP="00861072">
      <w:pPr>
        <w:jc w:val="center"/>
        <w:rPr>
          <w:lang w:val="es-AR"/>
        </w:rPr>
      </w:pPr>
    </w:p>
    <w:p w:rsidR="003C726B" w:rsidRPr="00861072" w:rsidRDefault="003C726B" w:rsidP="00861072">
      <w:pPr>
        <w:jc w:val="center"/>
        <w:rPr>
          <w:lang w:val="es-AR"/>
        </w:rPr>
      </w:pPr>
    </w:p>
    <w:p w:rsidR="003C726B" w:rsidRPr="00861072" w:rsidRDefault="003C726B" w:rsidP="00861072">
      <w:pPr>
        <w:jc w:val="center"/>
        <w:rPr>
          <w:lang w:val="es-AR"/>
        </w:rPr>
      </w:pPr>
    </w:p>
    <w:p w:rsidR="00437BB9" w:rsidRPr="00861072" w:rsidRDefault="00647103" w:rsidP="00861072">
      <w:pPr>
        <w:jc w:val="left"/>
        <w:rPr>
          <w:i/>
          <w:sz w:val="22"/>
          <w:lang w:val="es-AR"/>
        </w:rPr>
      </w:pPr>
      <w:r w:rsidRPr="00861072">
        <w:rPr>
          <w:i/>
          <w:sz w:val="22"/>
          <w:lang w:val="es-AR"/>
        </w:rPr>
        <w:t>Cet arrêt est définitif. Il peut subir des retouches de forme</w:t>
      </w:r>
      <w:r w:rsidR="000A0B0B" w:rsidRPr="00861072">
        <w:rPr>
          <w:i/>
          <w:sz w:val="22"/>
          <w:lang w:val="es-AR"/>
        </w:rPr>
        <w:t>.</w:t>
      </w:r>
    </w:p>
    <w:p w:rsidR="00437BB9" w:rsidRPr="00861072" w:rsidRDefault="00437BB9" w:rsidP="00861072">
      <w:pPr>
        <w:pStyle w:val="ECHRPara"/>
        <w:ind w:firstLine="0"/>
        <w:rPr>
          <w:i/>
          <w:sz w:val="22"/>
          <w:lang w:val="fr-FR"/>
        </w:rPr>
        <w:sectPr w:rsidR="00437BB9" w:rsidRPr="00861072" w:rsidSect="00647103">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861072" w:rsidRDefault="00E77CB3" w:rsidP="00861072">
      <w:pPr>
        <w:pStyle w:val="JuCase"/>
        <w:rPr>
          <w:lang w:val="fr-FR"/>
        </w:rPr>
      </w:pPr>
      <w:r w:rsidRPr="00861072">
        <w:rPr>
          <w:lang w:val="fr-FR"/>
        </w:rPr>
        <w:lastRenderedPageBreak/>
        <w:t>En l</w:t>
      </w:r>
      <w:r w:rsidR="00861072" w:rsidRPr="00861072">
        <w:rPr>
          <w:lang w:val="fr-FR"/>
        </w:rPr>
        <w:t>’</w:t>
      </w:r>
      <w:r w:rsidRPr="00861072">
        <w:rPr>
          <w:lang w:val="fr-FR"/>
        </w:rPr>
        <w:t xml:space="preserve">affaire </w:t>
      </w:r>
      <w:r w:rsidR="00E52443" w:rsidRPr="00861072">
        <w:rPr>
          <w:lang w:val="fr-FR"/>
        </w:rPr>
        <w:t>Conti et Lori c. Italie</w:t>
      </w:r>
      <w:r w:rsidRPr="00861072">
        <w:rPr>
          <w:lang w:val="fr-FR"/>
        </w:rPr>
        <w:t>,</w:t>
      </w:r>
    </w:p>
    <w:p w:rsidR="00E77CB3" w:rsidRPr="00861072" w:rsidRDefault="00E77CB3" w:rsidP="00861072">
      <w:pPr>
        <w:pStyle w:val="ECHRPara"/>
        <w:rPr>
          <w:lang w:val="fr-FR"/>
        </w:rPr>
      </w:pPr>
      <w:r w:rsidRPr="00861072">
        <w:rPr>
          <w:lang w:val="fr-FR"/>
        </w:rPr>
        <w:t>La Cour européenne des droits de l</w:t>
      </w:r>
      <w:r w:rsidR="00861072" w:rsidRPr="00861072">
        <w:rPr>
          <w:lang w:val="fr-FR"/>
        </w:rPr>
        <w:t>’</w:t>
      </w:r>
      <w:r w:rsidRPr="00861072">
        <w:rPr>
          <w:lang w:val="fr-FR"/>
        </w:rPr>
        <w:t>homme (</w:t>
      </w:r>
      <w:r w:rsidR="00E52443" w:rsidRPr="00861072">
        <w:rPr>
          <w:lang w:val="fr-FR"/>
        </w:rPr>
        <w:t>première section</w:t>
      </w:r>
      <w:r w:rsidRPr="00861072">
        <w:rPr>
          <w:lang w:val="fr-FR"/>
        </w:rPr>
        <w:t xml:space="preserve">), siégeant en </w:t>
      </w:r>
      <w:r w:rsidR="00E52443" w:rsidRPr="00861072">
        <w:rPr>
          <w:lang w:val="fr-FR"/>
        </w:rPr>
        <w:t>un comité composé</w:t>
      </w:r>
      <w:r w:rsidRPr="00861072">
        <w:rPr>
          <w:lang w:val="fr-FR"/>
        </w:rPr>
        <w:t xml:space="preserve"> de :</w:t>
      </w:r>
    </w:p>
    <w:p w:rsidR="00E77CB3" w:rsidRPr="00861072" w:rsidRDefault="003C726B" w:rsidP="00861072">
      <w:pPr>
        <w:pStyle w:val="ECHRDecisionBody"/>
        <w:rPr>
          <w:lang w:val="fr-FR"/>
        </w:rPr>
      </w:pPr>
      <w:r w:rsidRPr="00861072">
        <w:rPr>
          <w:lang w:val="fr-FR"/>
        </w:rPr>
        <w:tab/>
        <w:t xml:space="preserve">Kristina </w:t>
      </w:r>
      <w:proofErr w:type="spellStart"/>
      <w:r w:rsidRPr="00861072">
        <w:rPr>
          <w:lang w:val="fr-FR"/>
        </w:rPr>
        <w:t>Pardalos</w:t>
      </w:r>
      <w:proofErr w:type="spellEnd"/>
      <w:r w:rsidRPr="00861072">
        <w:rPr>
          <w:lang w:val="fr-FR"/>
        </w:rPr>
        <w:t>,</w:t>
      </w:r>
      <w:r w:rsidRPr="00861072">
        <w:rPr>
          <w:i/>
          <w:lang w:val="fr-FR"/>
        </w:rPr>
        <w:t xml:space="preserve"> présidente,</w:t>
      </w:r>
      <w:r w:rsidRPr="00861072">
        <w:rPr>
          <w:i/>
          <w:lang w:val="fr-FR"/>
        </w:rPr>
        <w:br/>
      </w:r>
      <w:r w:rsidRPr="00861072">
        <w:rPr>
          <w:lang w:val="fr-FR"/>
        </w:rPr>
        <w:tab/>
      </w:r>
      <w:proofErr w:type="spellStart"/>
      <w:r w:rsidRPr="00861072">
        <w:rPr>
          <w:lang w:val="fr-FR"/>
        </w:rPr>
        <w:t>Ksenija</w:t>
      </w:r>
      <w:proofErr w:type="spellEnd"/>
      <w:r w:rsidRPr="00861072">
        <w:rPr>
          <w:lang w:val="fr-FR"/>
        </w:rPr>
        <w:t xml:space="preserve"> </w:t>
      </w:r>
      <w:proofErr w:type="spellStart"/>
      <w:r w:rsidRPr="00861072">
        <w:rPr>
          <w:lang w:val="fr-FR"/>
        </w:rPr>
        <w:t>Turković</w:t>
      </w:r>
      <w:proofErr w:type="spellEnd"/>
      <w:r w:rsidRPr="00861072">
        <w:rPr>
          <w:lang w:val="fr-FR"/>
        </w:rPr>
        <w:t>,</w:t>
      </w:r>
      <w:r w:rsidRPr="00861072">
        <w:rPr>
          <w:i/>
          <w:lang w:val="fr-FR"/>
        </w:rPr>
        <w:br/>
      </w:r>
      <w:r w:rsidRPr="00861072">
        <w:rPr>
          <w:lang w:val="fr-FR"/>
        </w:rPr>
        <w:tab/>
      </w:r>
      <w:proofErr w:type="spellStart"/>
      <w:r w:rsidRPr="00861072">
        <w:rPr>
          <w:lang w:val="fr-FR"/>
        </w:rPr>
        <w:t>Pauliine</w:t>
      </w:r>
      <w:proofErr w:type="spellEnd"/>
      <w:r w:rsidRPr="00861072">
        <w:rPr>
          <w:lang w:val="fr-FR"/>
        </w:rPr>
        <w:t xml:space="preserve"> </w:t>
      </w:r>
      <w:proofErr w:type="spellStart"/>
      <w:r w:rsidRPr="00861072">
        <w:rPr>
          <w:lang w:val="fr-FR"/>
        </w:rPr>
        <w:t>Koskelo</w:t>
      </w:r>
      <w:proofErr w:type="spellEnd"/>
      <w:r w:rsidRPr="00861072">
        <w:rPr>
          <w:lang w:val="fr-FR"/>
        </w:rPr>
        <w:t>,</w:t>
      </w:r>
      <w:r w:rsidRPr="00861072">
        <w:rPr>
          <w:i/>
          <w:lang w:val="fr-FR"/>
        </w:rPr>
        <w:t xml:space="preserve"> juges</w:t>
      </w:r>
      <w:proofErr w:type="gramStart"/>
      <w:r w:rsidRPr="00861072">
        <w:rPr>
          <w:i/>
          <w:lang w:val="fr-FR"/>
        </w:rPr>
        <w:t>,</w:t>
      </w:r>
      <w:proofErr w:type="gramEnd"/>
      <w:r w:rsidR="00E77CB3" w:rsidRPr="00861072">
        <w:rPr>
          <w:lang w:val="fr-FR"/>
        </w:rPr>
        <w:br/>
        <w:t xml:space="preserve">et de </w:t>
      </w:r>
      <w:r w:rsidR="00E52443" w:rsidRPr="00861072">
        <w:rPr>
          <w:lang w:val="fr-FR"/>
        </w:rPr>
        <w:t xml:space="preserve">Renata </w:t>
      </w:r>
      <w:proofErr w:type="spellStart"/>
      <w:r w:rsidR="00E52443" w:rsidRPr="00861072">
        <w:rPr>
          <w:lang w:val="fr-FR"/>
        </w:rPr>
        <w:t>Degener</w:t>
      </w:r>
      <w:proofErr w:type="spellEnd"/>
      <w:r w:rsidR="00E77CB3" w:rsidRPr="00861072">
        <w:rPr>
          <w:lang w:val="fr-FR"/>
        </w:rPr>
        <w:t xml:space="preserve">, </w:t>
      </w:r>
      <w:r w:rsidR="00E52443" w:rsidRPr="00861072">
        <w:rPr>
          <w:i/>
          <w:lang w:val="fr-FR"/>
        </w:rPr>
        <w:t>greffière adjointe</w:t>
      </w:r>
      <w:r w:rsidR="00E52443" w:rsidRPr="00861072">
        <w:rPr>
          <w:iCs/>
          <w:lang w:val="fr-FR"/>
        </w:rPr>
        <w:t xml:space="preserve"> </w:t>
      </w:r>
      <w:r w:rsidR="00E52443" w:rsidRPr="00861072">
        <w:rPr>
          <w:i/>
          <w:iCs/>
          <w:lang w:val="fr-FR"/>
        </w:rPr>
        <w:t>d</w:t>
      </w:r>
      <w:r w:rsidR="00E52443" w:rsidRPr="00861072">
        <w:rPr>
          <w:i/>
          <w:lang w:val="fr-FR"/>
        </w:rPr>
        <w:t>e section</w:t>
      </w:r>
      <w:r w:rsidR="00E77CB3" w:rsidRPr="00861072">
        <w:rPr>
          <w:lang w:val="fr-FR"/>
        </w:rPr>
        <w:t>,</w:t>
      </w:r>
    </w:p>
    <w:p w:rsidR="00E77CB3" w:rsidRPr="00861072" w:rsidRDefault="00E77CB3" w:rsidP="00861072">
      <w:pPr>
        <w:pStyle w:val="ECHRPara"/>
        <w:rPr>
          <w:lang w:val="fr-FR"/>
        </w:rPr>
      </w:pPr>
      <w:r w:rsidRPr="00861072">
        <w:rPr>
          <w:lang w:val="fr-FR"/>
        </w:rPr>
        <w:t xml:space="preserve">Après en avoir délibéré en chambre du conseil le </w:t>
      </w:r>
      <w:r w:rsidR="003C726B" w:rsidRPr="00861072">
        <w:rPr>
          <w:lang w:val="fr-FR"/>
        </w:rPr>
        <w:t>17 octobre 2017</w:t>
      </w:r>
      <w:r w:rsidRPr="00861072">
        <w:rPr>
          <w:lang w:val="fr-FR"/>
        </w:rPr>
        <w:t>,</w:t>
      </w:r>
    </w:p>
    <w:p w:rsidR="00E77CB3" w:rsidRPr="00861072" w:rsidRDefault="00E77CB3" w:rsidP="00861072">
      <w:pPr>
        <w:pStyle w:val="ECHRPara"/>
        <w:rPr>
          <w:lang w:val="fr-FR"/>
        </w:rPr>
      </w:pPr>
      <w:r w:rsidRPr="00861072">
        <w:rPr>
          <w:lang w:val="fr-FR"/>
        </w:rPr>
        <w:t>Rend l</w:t>
      </w:r>
      <w:r w:rsidR="00861072" w:rsidRPr="00861072">
        <w:rPr>
          <w:lang w:val="fr-FR"/>
        </w:rPr>
        <w:t>’</w:t>
      </w:r>
      <w:r w:rsidRPr="00861072">
        <w:rPr>
          <w:lang w:val="fr-FR"/>
        </w:rPr>
        <w:t>arrêt que voici, adopté à cette date :</w:t>
      </w:r>
    </w:p>
    <w:p w:rsidR="00E77CB3" w:rsidRPr="00861072" w:rsidRDefault="00E77CB3" w:rsidP="00861072">
      <w:pPr>
        <w:pStyle w:val="ECHRTitle1"/>
        <w:rPr>
          <w:lang w:val="fr-FR"/>
        </w:rPr>
      </w:pPr>
      <w:r w:rsidRPr="00861072">
        <w:rPr>
          <w:lang w:val="fr-FR"/>
        </w:rPr>
        <w:t>PROCÉDURE</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w:t>
      </w:r>
      <w:r w:rsidRPr="00861072">
        <w:rPr>
          <w:lang w:val="fr-FR"/>
        </w:rPr>
        <w:fldChar w:fldCharType="end"/>
      </w:r>
      <w:r w:rsidR="00E77CB3" w:rsidRPr="00861072">
        <w:rPr>
          <w:lang w:val="fr-FR"/>
        </w:rPr>
        <w:t>.  À l</w:t>
      </w:r>
      <w:r w:rsidR="00861072" w:rsidRPr="00861072">
        <w:rPr>
          <w:lang w:val="fr-FR"/>
        </w:rPr>
        <w:t>’</w:t>
      </w:r>
      <w:r w:rsidR="00E77CB3" w:rsidRPr="00861072">
        <w:rPr>
          <w:lang w:val="fr-FR"/>
        </w:rPr>
        <w:t>origine de l</w:t>
      </w:r>
      <w:r w:rsidR="00861072" w:rsidRPr="00861072">
        <w:rPr>
          <w:lang w:val="fr-FR"/>
        </w:rPr>
        <w:t>’</w:t>
      </w:r>
      <w:r w:rsidR="00E77CB3" w:rsidRPr="00861072">
        <w:rPr>
          <w:lang w:val="fr-FR"/>
        </w:rPr>
        <w:t xml:space="preserve">affaire </w:t>
      </w:r>
      <w:r w:rsidRPr="00861072">
        <w:rPr>
          <w:lang w:val="fr-FR"/>
        </w:rPr>
        <w:t>se trouve une requête (n</w:t>
      </w:r>
      <w:r w:rsidRPr="00861072">
        <w:rPr>
          <w:vertAlign w:val="superscript"/>
          <w:lang w:val="fr-FR"/>
        </w:rPr>
        <w:t>o</w:t>
      </w:r>
      <w:r w:rsidRPr="00861072">
        <w:rPr>
          <w:lang w:val="fr-FR"/>
        </w:rPr>
        <w:t xml:space="preserve"> 17527/05) dirigée</w:t>
      </w:r>
      <w:r w:rsidR="00E77CB3" w:rsidRPr="00861072">
        <w:rPr>
          <w:lang w:val="fr-FR"/>
        </w:rPr>
        <w:t xml:space="preserve"> contre </w:t>
      </w:r>
      <w:r w:rsidRPr="00861072">
        <w:rPr>
          <w:lang w:val="fr-FR"/>
        </w:rPr>
        <w:t>la République italienne</w:t>
      </w:r>
      <w:r w:rsidR="00E77CB3" w:rsidRPr="00861072">
        <w:rPr>
          <w:lang w:val="fr-FR"/>
        </w:rPr>
        <w:t xml:space="preserve"> et dont </w:t>
      </w:r>
      <w:r w:rsidR="00EC4353" w:rsidRPr="00861072">
        <w:rPr>
          <w:lang w:val="fr-FR"/>
        </w:rPr>
        <w:t>trois</w:t>
      </w:r>
      <w:r w:rsidRPr="00861072">
        <w:rPr>
          <w:lang w:val="fr-FR"/>
        </w:rPr>
        <w:t xml:space="preserve"> ressortissants de cet Éta</w:t>
      </w:r>
      <w:r w:rsidR="000D0B0D" w:rsidRPr="00861072">
        <w:rPr>
          <w:lang w:val="fr-FR"/>
        </w:rPr>
        <w:t>t</w:t>
      </w:r>
      <w:r w:rsidR="00EC4353" w:rsidRPr="00861072">
        <w:rPr>
          <w:lang w:val="fr-FR"/>
        </w:rPr>
        <w:t>, M</w:t>
      </w:r>
      <w:r w:rsidR="00EC4353" w:rsidRPr="00861072">
        <w:rPr>
          <w:vertAlign w:val="superscript"/>
          <w:lang w:val="fr-FR"/>
        </w:rPr>
        <w:t>me</w:t>
      </w:r>
      <w:r w:rsidR="00FF2637" w:rsidRPr="00861072">
        <w:rPr>
          <w:lang w:val="fr-FR"/>
        </w:rPr>
        <w:t> </w:t>
      </w:r>
      <w:proofErr w:type="spellStart"/>
      <w:r w:rsidRPr="00861072">
        <w:rPr>
          <w:lang w:val="fr-FR"/>
        </w:rPr>
        <w:t>Orientalina</w:t>
      </w:r>
      <w:proofErr w:type="spellEnd"/>
      <w:r w:rsidRPr="00861072">
        <w:rPr>
          <w:lang w:val="fr-FR"/>
        </w:rPr>
        <w:t xml:space="preserve"> Conti</w:t>
      </w:r>
      <w:r w:rsidR="000E3A0A" w:rsidRPr="00861072">
        <w:rPr>
          <w:lang w:val="fr-FR"/>
        </w:rPr>
        <w:t>, M</w:t>
      </w:r>
      <w:r w:rsidR="000E3A0A" w:rsidRPr="00861072">
        <w:rPr>
          <w:vertAlign w:val="superscript"/>
          <w:lang w:val="fr-FR"/>
        </w:rPr>
        <w:t>me</w:t>
      </w:r>
      <w:r w:rsidR="00EC4353" w:rsidRPr="00861072">
        <w:rPr>
          <w:lang w:val="fr-FR"/>
        </w:rPr>
        <w:t xml:space="preserve"> </w:t>
      </w:r>
      <w:proofErr w:type="spellStart"/>
      <w:r w:rsidR="00EC4353" w:rsidRPr="00861072">
        <w:rPr>
          <w:lang w:val="fr-FR"/>
        </w:rPr>
        <w:t>Rosanna</w:t>
      </w:r>
      <w:proofErr w:type="spellEnd"/>
      <w:r w:rsidR="00EC4353" w:rsidRPr="00861072">
        <w:rPr>
          <w:lang w:val="fr-FR"/>
        </w:rPr>
        <w:t xml:space="preserve"> </w:t>
      </w:r>
      <w:r w:rsidR="000E3A0A" w:rsidRPr="00861072">
        <w:rPr>
          <w:lang w:val="fr-FR"/>
        </w:rPr>
        <w:t xml:space="preserve">Lori </w:t>
      </w:r>
      <w:r w:rsidR="00EC4353" w:rsidRPr="00861072">
        <w:rPr>
          <w:lang w:val="fr-FR"/>
        </w:rPr>
        <w:t xml:space="preserve">et </w:t>
      </w:r>
      <w:r w:rsidR="000E3A0A" w:rsidRPr="00861072">
        <w:rPr>
          <w:lang w:val="fr-FR"/>
        </w:rPr>
        <w:t xml:space="preserve">M. </w:t>
      </w:r>
      <w:r w:rsidR="00EC4353" w:rsidRPr="00861072">
        <w:rPr>
          <w:lang w:val="fr-FR"/>
        </w:rPr>
        <w:t xml:space="preserve">Angelo Lori </w:t>
      </w:r>
      <w:r w:rsidRPr="00861072">
        <w:rPr>
          <w:lang w:val="fr-FR"/>
        </w:rPr>
        <w:t>(« les requérants »), ont saisi la Cour le 23 juin 2005</w:t>
      </w:r>
      <w:r w:rsidR="00E77CB3" w:rsidRPr="00861072">
        <w:rPr>
          <w:lang w:val="fr-FR"/>
        </w:rPr>
        <w:t xml:space="preserve"> en vertu de </w:t>
      </w:r>
      <w:r w:rsidRPr="00861072">
        <w:rPr>
          <w:lang w:val="fr-FR"/>
        </w:rPr>
        <w:t>l</w:t>
      </w:r>
      <w:r w:rsidR="00861072" w:rsidRPr="00861072">
        <w:rPr>
          <w:lang w:val="fr-FR"/>
        </w:rPr>
        <w:t>’</w:t>
      </w:r>
      <w:r w:rsidRPr="00861072">
        <w:rPr>
          <w:lang w:val="fr-FR"/>
        </w:rPr>
        <w:t>article 34</w:t>
      </w:r>
      <w:r w:rsidR="00E77CB3" w:rsidRPr="00861072">
        <w:rPr>
          <w:lang w:val="fr-FR"/>
        </w:rPr>
        <w:t xml:space="preserve"> de la Convention de sauvegarde des droits de l</w:t>
      </w:r>
      <w:r w:rsidR="00861072" w:rsidRPr="00861072">
        <w:rPr>
          <w:lang w:val="fr-FR"/>
        </w:rPr>
        <w:t>’</w:t>
      </w:r>
      <w:r w:rsidR="00E77CB3" w:rsidRPr="00861072">
        <w:rPr>
          <w:lang w:val="fr-FR"/>
        </w:rPr>
        <w:t>homme et des libertés fondamentales (« la Convention »).</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w:t>
      </w:r>
      <w:r w:rsidRPr="00861072">
        <w:rPr>
          <w:lang w:val="fr-FR"/>
        </w:rPr>
        <w:fldChar w:fldCharType="end"/>
      </w:r>
      <w:r w:rsidR="00E77CB3" w:rsidRPr="00861072">
        <w:rPr>
          <w:lang w:val="fr-FR"/>
        </w:rPr>
        <w:t>.  </w:t>
      </w:r>
      <w:r w:rsidRPr="00861072">
        <w:rPr>
          <w:lang w:val="fr-FR"/>
        </w:rPr>
        <w:t>Les requérants ont été représentés par M</w:t>
      </w:r>
      <w:r w:rsidRPr="00861072">
        <w:rPr>
          <w:vertAlign w:val="superscript"/>
          <w:lang w:val="fr-FR"/>
        </w:rPr>
        <w:t>e</w:t>
      </w:r>
      <w:r w:rsidRPr="00861072">
        <w:rPr>
          <w:lang w:val="fr-FR"/>
        </w:rPr>
        <w:t xml:space="preserve"> G. </w:t>
      </w:r>
      <w:proofErr w:type="spellStart"/>
      <w:r w:rsidR="00882884" w:rsidRPr="00861072">
        <w:rPr>
          <w:lang w:val="fr-FR"/>
        </w:rPr>
        <w:t>Meliadò</w:t>
      </w:r>
      <w:proofErr w:type="spellEnd"/>
      <w:r w:rsidRPr="00861072">
        <w:rPr>
          <w:lang w:val="fr-FR"/>
        </w:rPr>
        <w:t xml:space="preserve">, avocat à Rome. </w:t>
      </w:r>
      <w:r w:rsidR="00E77CB3" w:rsidRPr="00861072">
        <w:rPr>
          <w:lang w:val="fr-FR"/>
        </w:rPr>
        <w:t xml:space="preserve">Le gouvernement </w:t>
      </w:r>
      <w:r w:rsidRPr="00861072">
        <w:rPr>
          <w:lang w:val="fr-FR"/>
        </w:rPr>
        <w:t>italien</w:t>
      </w:r>
      <w:r w:rsidR="00E77CB3" w:rsidRPr="00861072">
        <w:rPr>
          <w:lang w:val="fr-FR"/>
        </w:rPr>
        <w:t xml:space="preserve"> (« le Gouvernement ») a été représenté par son agent</w:t>
      </w:r>
      <w:r w:rsidR="00913524" w:rsidRPr="00861072">
        <w:rPr>
          <w:lang w:val="fr-FR"/>
        </w:rPr>
        <w:t xml:space="preserve">, </w:t>
      </w:r>
      <w:r w:rsidR="00913524" w:rsidRPr="00861072">
        <w:rPr>
          <w:color w:val="000000"/>
          <w:lang w:val="fr-FR"/>
        </w:rPr>
        <w:t>M</w:t>
      </w:r>
      <w:r w:rsidR="00913524" w:rsidRPr="00861072">
        <w:rPr>
          <w:color w:val="000000"/>
          <w:vertAlign w:val="superscript"/>
          <w:lang w:val="fr-FR"/>
        </w:rPr>
        <w:t>me</w:t>
      </w:r>
      <w:r w:rsidR="00913524" w:rsidRPr="00861072">
        <w:rPr>
          <w:color w:val="000000"/>
          <w:lang w:val="fr-FR"/>
        </w:rPr>
        <w:t xml:space="preserve"> E. Spatafora, son ancien </w:t>
      </w:r>
      <w:proofErr w:type="spellStart"/>
      <w:r w:rsidR="00913524" w:rsidRPr="00861072">
        <w:rPr>
          <w:color w:val="000000"/>
          <w:lang w:val="fr-FR"/>
        </w:rPr>
        <w:t>coagent</w:t>
      </w:r>
      <w:proofErr w:type="spellEnd"/>
      <w:r w:rsidR="006C4355" w:rsidRPr="00861072">
        <w:rPr>
          <w:color w:val="000000"/>
          <w:lang w:val="fr-FR"/>
        </w:rPr>
        <w:t>,</w:t>
      </w:r>
      <w:r w:rsidR="00913524" w:rsidRPr="00861072">
        <w:rPr>
          <w:color w:val="000000"/>
          <w:lang w:val="fr-FR"/>
        </w:rPr>
        <w:t xml:space="preserve"> M. N. Lettieri, et </w:t>
      </w:r>
      <w:r w:rsidR="00437BB9" w:rsidRPr="00861072">
        <w:rPr>
          <w:lang w:val="fr-FR"/>
        </w:rPr>
        <w:t>son</w:t>
      </w:r>
      <w:r w:rsidR="00913524" w:rsidRPr="00861072">
        <w:rPr>
          <w:lang w:val="fr-FR"/>
        </w:rPr>
        <w:t xml:space="preserve"> </w:t>
      </w:r>
      <w:proofErr w:type="spellStart"/>
      <w:r w:rsidR="00913524" w:rsidRPr="00861072">
        <w:rPr>
          <w:lang w:val="fr-FR"/>
        </w:rPr>
        <w:t>coagent</w:t>
      </w:r>
      <w:proofErr w:type="spellEnd"/>
      <w:r w:rsidR="006C4355" w:rsidRPr="00861072">
        <w:rPr>
          <w:lang w:val="fr-FR"/>
        </w:rPr>
        <w:t>,</w:t>
      </w:r>
      <w:r w:rsidR="00552598" w:rsidRPr="00861072">
        <w:rPr>
          <w:lang w:val="fr-FR"/>
        </w:rPr>
        <w:t xml:space="preserve"> </w:t>
      </w:r>
      <w:r w:rsidR="00913524" w:rsidRPr="00861072">
        <w:rPr>
          <w:lang w:val="fr-FR"/>
        </w:rPr>
        <w:t>M</w:t>
      </w:r>
      <w:r w:rsidR="00913524" w:rsidRPr="00861072">
        <w:rPr>
          <w:vertAlign w:val="superscript"/>
          <w:lang w:val="fr-FR"/>
        </w:rPr>
        <w:t>me </w:t>
      </w:r>
      <w:r w:rsidR="00913524" w:rsidRPr="00861072">
        <w:rPr>
          <w:lang w:val="fr-FR"/>
        </w:rPr>
        <w:t>P. Accardo.</w:t>
      </w:r>
    </w:p>
    <w:p w:rsidR="00E77CB3" w:rsidRPr="00861072" w:rsidRDefault="00E52443" w:rsidP="00861072">
      <w:pPr>
        <w:pStyle w:val="ECHRPara"/>
        <w:rPr>
          <w:szCs w:val="24"/>
          <w:lang w:val="fr-FR" w:eastAsia="en-GB"/>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3</w:t>
      </w:r>
      <w:r w:rsidRPr="00861072">
        <w:rPr>
          <w:lang w:val="fr-FR"/>
        </w:rPr>
        <w:fldChar w:fldCharType="end"/>
      </w:r>
      <w:r w:rsidR="00E77CB3" w:rsidRPr="00861072">
        <w:rPr>
          <w:lang w:val="fr-FR"/>
        </w:rPr>
        <w:t>.  </w:t>
      </w:r>
      <w:r w:rsidRPr="00861072">
        <w:rPr>
          <w:lang w:val="fr-FR"/>
        </w:rPr>
        <w:t xml:space="preserve">Le </w:t>
      </w:r>
      <w:r w:rsidRPr="00861072">
        <w:rPr>
          <w:szCs w:val="24"/>
          <w:lang w:val="fr-FR"/>
        </w:rPr>
        <w:t>28 juin 2007</w:t>
      </w:r>
      <w:r w:rsidR="00E77CB3" w:rsidRPr="00861072">
        <w:rPr>
          <w:lang w:val="fr-FR"/>
        </w:rPr>
        <w:t xml:space="preserve">, </w:t>
      </w:r>
      <w:r w:rsidRPr="00861072">
        <w:rPr>
          <w:lang w:val="fr-FR"/>
        </w:rPr>
        <w:t>la requête a été communiquée au Gouvernement</w:t>
      </w:r>
      <w:r w:rsidR="00646454" w:rsidRPr="00861072">
        <w:rPr>
          <w:lang w:val="fr-FR"/>
        </w:rPr>
        <w:t>.</w:t>
      </w:r>
    </w:p>
    <w:p w:rsidR="00E77CB3" w:rsidRPr="00861072" w:rsidRDefault="00E77CB3" w:rsidP="00861072">
      <w:pPr>
        <w:pStyle w:val="ECHRTitle1"/>
        <w:tabs>
          <w:tab w:val="left" w:pos="5387"/>
        </w:tabs>
        <w:rPr>
          <w:lang w:val="fr-FR"/>
        </w:rPr>
      </w:pPr>
      <w:r w:rsidRPr="00861072">
        <w:rPr>
          <w:lang w:val="fr-FR"/>
        </w:rPr>
        <w:t>EN FAIT</w:t>
      </w:r>
    </w:p>
    <w:p w:rsidR="00E77CB3" w:rsidRPr="00861072" w:rsidRDefault="00E77CB3" w:rsidP="00861072">
      <w:pPr>
        <w:pStyle w:val="ECHRHeading1"/>
        <w:rPr>
          <w:lang w:val="fr-FR"/>
        </w:rPr>
      </w:pPr>
      <w:r w:rsidRPr="00861072">
        <w:rPr>
          <w:lang w:val="fr-FR"/>
        </w:rPr>
        <w:t>I.</w:t>
      </w:r>
      <w:proofErr w:type="gramStart"/>
      <w:r w:rsidRPr="00861072">
        <w:rPr>
          <w:lang w:val="fr-FR"/>
        </w:rPr>
        <w:t>  LES</w:t>
      </w:r>
      <w:proofErr w:type="gramEnd"/>
      <w:r w:rsidRPr="00861072">
        <w:rPr>
          <w:lang w:val="fr-FR"/>
        </w:rPr>
        <w:t xml:space="preserve"> CIRCONSTANCES DE L</w:t>
      </w:r>
      <w:r w:rsidR="00861072" w:rsidRPr="00861072">
        <w:rPr>
          <w:lang w:val="fr-FR"/>
        </w:rPr>
        <w:t>’</w:t>
      </w:r>
      <w:r w:rsidRPr="00861072">
        <w:rPr>
          <w:lang w:val="fr-FR"/>
        </w:rPr>
        <w:t>ESPÈCE</w:t>
      </w:r>
    </w:p>
    <w:p w:rsidR="008A1DE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w:t>
      </w:r>
      <w:r w:rsidRPr="00861072">
        <w:rPr>
          <w:lang w:val="fr-FR"/>
        </w:rPr>
        <w:fldChar w:fldCharType="end"/>
      </w:r>
      <w:r w:rsidR="00E77CB3" w:rsidRPr="00861072">
        <w:rPr>
          <w:lang w:val="fr-FR"/>
        </w:rPr>
        <w:t>.  </w:t>
      </w:r>
      <w:r w:rsidRPr="00861072">
        <w:rPr>
          <w:lang w:val="fr-FR"/>
        </w:rPr>
        <w:t xml:space="preserve">Les requérants sont nés respectivement </w:t>
      </w:r>
      <w:r w:rsidR="005C2B32" w:rsidRPr="00861072">
        <w:rPr>
          <w:lang w:val="fr-FR"/>
        </w:rPr>
        <w:t xml:space="preserve">en 1924, </w:t>
      </w:r>
      <w:r w:rsidR="000E3A0A" w:rsidRPr="00861072">
        <w:rPr>
          <w:lang w:val="fr-FR"/>
        </w:rPr>
        <w:t xml:space="preserve">en </w:t>
      </w:r>
      <w:r w:rsidR="005C2B32" w:rsidRPr="00861072">
        <w:rPr>
          <w:lang w:val="fr-FR"/>
        </w:rPr>
        <w:t xml:space="preserve">1967 et </w:t>
      </w:r>
      <w:r w:rsidR="000E3A0A" w:rsidRPr="00861072">
        <w:rPr>
          <w:lang w:val="fr-FR"/>
        </w:rPr>
        <w:t xml:space="preserve">en </w:t>
      </w:r>
      <w:r w:rsidR="005C2B32" w:rsidRPr="00861072">
        <w:rPr>
          <w:lang w:val="fr-FR"/>
        </w:rPr>
        <w:t>1966</w:t>
      </w:r>
      <w:r w:rsidR="0063168A" w:rsidRPr="00861072">
        <w:rPr>
          <w:lang w:val="fr-FR"/>
        </w:rPr>
        <w:t>,</w:t>
      </w:r>
      <w:r w:rsidRPr="00861072">
        <w:rPr>
          <w:lang w:val="fr-FR"/>
        </w:rPr>
        <w:t xml:space="preserve"> </w:t>
      </w:r>
      <w:r w:rsidR="005C2B32" w:rsidRPr="00861072">
        <w:rPr>
          <w:lang w:val="fr-FR"/>
        </w:rPr>
        <w:t xml:space="preserve">et </w:t>
      </w:r>
      <w:r w:rsidRPr="00861072">
        <w:rPr>
          <w:lang w:val="fr-FR"/>
        </w:rPr>
        <w:t xml:space="preserve">résident à </w:t>
      </w:r>
      <w:proofErr w:type="spellStart"/>
      <w:r w:rsidR="00E4407B" w:rsidRPr="00861072">
        <w:rPr>
          <w:lang w:val="fr-FR"/>
        </w:rPr>
        <w:t>Vi</w:t>
      </w:r>
      <w:r w:rsidRPr="00861072">
        <w:rPr>
          <w:lang w:val="fr-FR"/>
        </w:rPr>
        <w:t>covaro</w:t>
      </w:r>
      <w:proofErr w:type="spellEnd"/>
      <w:r w:rsidR="00E77CB3" w:rsidRPr="00861072">
        <w:rPr>
          <w:lang w:val="fr-FR"/>
        </w:rPr>
        <w:t>.</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w:t>
      </w:r>
      <w:r w:rsidRPr="00861072">
        <w:rPr>
          <w:lang w:val="fr-FR"/>
        </w:rPr>
        <w:fldChar w:fldCharType="end"/>
      </w:r>
      <w:r w:rsidRPr="00861072">
        <w:rPr>
          <w:lang w:val="fr-FR"/>
        </w:rPr>
        <w:t>.  </w:t>
      </w:r>
      <w:r w:rsidR="004C1CFC" w:rsidRPr="00861072">
        <w:rPr>
          <w:lang w:val="fr-FR"/>
        </w:rPr>
        <w:t>Ils</w:t>
      </w:r>
      <w:r w:rsidR="00B67A6C" w:rsidRPr="00861072">
        <w:rPr>
          <w:lang w:val="fr-FR"/>
        </w:rPr>
        <w:t xml:space="preserve"> sont </w:t>
      </w:r>
      <w:r w:rsidR="000E3A0A" w:rsidRPr="00861072">
        <w:rPr>
          <w:lang w:val="fr-FR"/>
        </w:rPr>
        <w:t>les héritiers</w:t>
      </w:r>
      <w:r w:rsidR="00B67A6C" w:rsidRPr="00861072">
        <w:rPr>
          <w:lang w:val="fr-FR"/>
        </w:rPr>
        <w:t xml:space="preserve"> de </w:t>
      </w:r>
      <w:r w:rsidR="000E3A0A" w:rsidRPr="00861072">
        <w:rPr>
          <w:lang w:val="fr-FR"/>
        </w:rPr>
        <w:t xml:space="preserve">M. </w:t>
      </w:r>
      <w:r w:rsidR="00B67A6C" w:rsidRPr="00861072">
        <w:rPr>
          <w:lang w:val="fr-FR"/>
        </w:rPr>
        <w:t>Bartolomeo Lori. Ce dernier était propriétaire, avec ses frères, d</w:t>
      </w:r>
      <w:r w:rsidR="00861072" w:rsidRPr="00861072">
        <w:rPr>
          <w:lang w:val="fr-FR"/>
        </w:rPr>
        <w:t>’</w:t>
      </w:r>
      <w:r w:rsidR="00B67A6C" w:rsidRPr="00861072">
        <w:rPr>
          <w:lang w:val="fr-FR"/>
        </w:rPr>
        <w:t xml:space="preserve">un terrain de 1 350 m² sis à </w:t>
      </w:r>
      <w:bookmarkStart w:id="2" w:name="OLE_LINK1"/>
      <w:bookmarkStart w:id="3" w:name="OLE_LINK2"/>
      <w:proofErr w:type="spellStart"/>
      <w:r w:rsidR="00B67A6C" w:rsidRPr="00861072">
        <w:rPr>
          <w:lang w:val="fr-FR"/>
        </w:rPr>
        <w:t>Cineto</w:t>
      </w:r>
      <w:proofErr w:type="spellEnd"/>
      <w:r w:rsidR="00B67A6C" w:rsidRPr="00861072">
        <w:rPr>
          <w:lang w:val="fr-FR"/>
        </w:rPr>
        <w:t xml:space="preserve"> Romano</w:t>
      </w:r>
      <w:bookmarkEnd w:id="2"/>
      <w:bookmarkEnd w:id="3"/>
      <w:r w:rsidR="00B67A6C" w:rsidRPr="00861072">
        <w:rPr>
          <w:lang w:val="fr-FR"/>
        </w:rPr>
        <w:t>.</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6</w:t>
      </w:r>
      <w:r w:rsidRPr="00861072">
        <w:rPr>
          <w:lang w:val="fr-FR"/>
        </w:rPr>
        <w:fldChar w:fldCharType="end"/>
      </w:r>
      <w:r w:rsidRPr="00861072">
        <w:rPr>
          <w:lang w:val="fr-FR"/>
        </w:rPr>
        <w:t>.  </w:t>
      </w:r>
      <w:r w:rsidR="00B67A6C" w:rsidRPr="00861072">
        <w:rPr>
          <w:lang w:val="fr-FR"/>
        </w:rPr>
        <w:t>Par des arrêtés d</w:t>
      </w:r>
      <w:r w:rsidR="000E3A0A" w:rsidRPr="00861072">
        <w:rPr>
          <w:lang w:val="fr-FR"/>
        </w:rPr>
        <w:t>u</w:t>
      </w:r>
      <w:r w:rsidR="00B67A6C" w:rsidRPr="00861072">
        <w:rPr>
          <w:lang w:val="fr-FR"/>
        </w:rPr>
        <w:t xml:space="preserve"> 28 mai et </w:t>
      </w:r>
      <w:r w:rsidR="000E3A0A" w:rsidRPr="00861072">
        <w:rPr>
          <w:lang w:val="fr-FR"/>
        </w:rPr>
        <w:t xml:space="preserve">du </w:t>
      </w:r>
      <w:r w:rsidR="00B67A6C" w:rsidRPr="00861072">
        <w:rPr>
          <w:lang w:val="fr-FR"/>
        </w:rPr>
        <w:t xml:space="preserve">14 octobre 1987, la municipalité de </w:t>
      </w:r>
      <w:proofErr w:type="spellStart"/>
      <w:r w:rsidR="00B67A6C" w:rsidRPr="00861072">
        <w:rPr>
          <w:lang w:val="fr-FR"/>
        </w:rPr>
        <w:t>Cineto</w:t>
      </w:r>
      <w:proofErr w:type="spellEnd"/>
      <w:r w:rsidR="00B67A6C" w:rsidRPr="00861072">
        <w:rPr>
          <w:lang w:val="fr-FR"/>
        </w:rPr>
        <w:t xml:space="preserve"> Romano </w:t>
      </w:r>
      <w:r w:rsidR="00195D19" w:rsidRPr="00861072">
        <w:rPr>
          <w:lang w:val="fr-FR"/>
        </w:rPr>
        <w:t xml:space="preserve">décréta </w:t>
      </w:r>
      <w:r w:rsidR="00B67A6C" w:rsidRPr="00861072">
        <w:rPr>
          <w:lang w:val="fr-FR"/>
        </w:rPr>
        <w:t>l</w:t>
      </w:r>
      <w:r w:rsidR="00861072" w:rsidRPr="00861072">
        <w:rPr>
          <w:lang w:val="fr-FR"/>
        </w:rPr>
        <w:t>’</w:t>
      </w:r>
      <w:r w:rsidR="00B67A6C" w:rsidRPr="00861072">
        <w:rPr>
          <w:lang w:val="fr-FR"/>
        </w:rPr>
        <w:t>occupation d</w:t>
      </w:r>
      <w:r w:rsidR="00861072" w:rsidRPr="00861072">
        <w:rPr>
          <w:lang w:val="fr-FR"/>
        </w:rPr>
        <w:t>’</w:t>
      </w:r>
      <w:r w:rsidR="00B67A6C" w:rsidRPr="00861072">
        <w:rPr>
          <w:lang w:val="fr-FR"/>
        </w:rPr>
        <w:t>urgence dudit terrain, pour une période de cinq ans, en vue d</w:t>
      </w:r>
      <w:r w:rsidR="00861072" w:rsidRPr="00861072">
        <w:rPr>
          <w:lang w:val="fr-FR"/>
        </w:rPr>
        <w:t>’</w:t>
      </w:r>
      <w:r w:rsidR="00B67A6C" w:rsidRPr="00861072">
        <w:rPr>
          <w:lang w:val="fr-FR"/>
        </w:rPr>
        <w:t xml:space="preserve">y </w:t>
      </w:r>
      <w:r w:rsidR="0063168A" w:rsidRPr="00861072">
        <w:rPr>
          <w:lang w:val="fr-FR"/>
        </w:rPr>
        <w:t xml:space="preserve">créer </w:t>
      </w:r>
      <w:r w:rsidR="00B67A6C" w:rsidRPr="00861072">
        <w:rPr>
          <w:lang w:val="fr-FR"/>
        </w:rPr>
        <w:t>un cimetière.</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7</w:t>
      </w:r>
      <w:r w:rsidRPr="00861072">
        <w:rPr>
          <w:lang w:val="fr-FR"/>
        </w:rPr>
        <w:fldChar w:fldCharType="end"/>
      </w:r>
      <w:r w:rsidRPr="00861072">
        <w:rPr>
          <w:lang w:val="fr-FR"/>
        </w:rPr>
        <w:t>.  </w:t>
      </w:r>
      <w:r w:rsidR="00195D19" w:rsidRPr="00861072">
        <w:rPr>
          <w:lang w:val="fr-FR"/>
        </w:rPr>
        <w:t>Le</w:t>
      </w:r>
      <w:r w:rsidR="00B67A6C" w:rsidRPr="00861072">
        <w:rPr>
          <w:lang w:val="fr-FR"/>
        </w:rPr>
        <w:t xml:space="preserve"> 15 décembre 1987</w:t>
      </w:r>
      <w:r w:rsidR="00195D19" w:rsidRPr="00861072">
        <w:rPr>
          <w:lang w:val="fr-FR"/>
        </w:rPr>
        <w:t>, il y eut occupation matérielle du terrain.</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8</w:t>
      </w:r>
      <w:r w:rsidRPr="00861072">
        <w:rPr>
          <w:lang w:val="fr-FR"/>
        </w:rPr>
        <w:fldChar w:fldCharType="end"/>
      </w:r>
      <w:r w:rsidRPr="00861072">
        <w:rPr>
          <w:lang w:val="fr-FR"/>
        </w:rPr>
        <w:t>.  </w:t>
      </w:r>
      <w:r w:rsidR="00B67A6C" w:rsidRPr="00861072">
        <w:rPr>
          <w:lang w:val="fr-FR"/>
        </w:rPr>
        <w:t xml:space="preserve">Le 23 octobre 1995, le </w:t>
      </w:r>
      <w:r w:rsidR="00B67A6C" w:rsidRPr="00861072">
        <w:rPr>
          <w:i/>
          <w:lang w:val="fr-FR"/>
        </w:rPr>
        <w:t>de cujus</w:t>
      </w:r>
      <w:r w:rsidR="00B67A6C" w:rsidRPr="00861072">
        <w:rPr>
          <w:lang w:val="fr-FR"/>
        </w:rPr>
        <w:t xml:space="preserve"> des requérants introduisit un recours</w:t>
      </w:r>
      <w:r w:rsidR="000F71AB" w:rsidRPr="00861072">
        <w:rPr>
          <w:lang w:val="fr-FR"/>
        </w:rPr>
        <w:t xml:space="preserve"> contre la municipalité </w:t>
      </w:r>
      <w:r w:rsidR="00B67A6C" w:rsidRPr="00861072">
        <w:rPr>
          <w:lang w:val="fr-FR"/>
        </w:rPr>
        <w:t>devant le tribunal de Rome</w:t>
      </w:r>
      <w:r w:rsidR="000F71AB" w:rsidRPr="00861072">
        <w:rPr>
          <w:lang w:val="fr-FR"/>
        </w:rPr>
        <w:t xml:space="preserve"> (« le tribunal »),</w:t>
      </w:r>
      <w:r w:rsidR="00B67A6C" w:rsidRPr="00861072">
        <w:rPr>
          <w:lang w:val="fr-FR"/>
        </w:rPr>
        <w:t xml:space="preserve"> alléguant que l</w:t>
      </w:r>
      <w:r w:rsidR="00861072" w:rsidRPr="00861072">
        <w:rPr>
          <w:lang w:val="fr-FR"/>
        </w:rPr>
        <w:t>’</w:t>
      </w:r>
      <w:r w:rsidR="00B67A6C" w:rsidRPr="00861072">
        <w:rPr>
          <w:lang w:val="fr-FR"/>
        </w:rPr>
        <w:t xml:space="preserve">occupation du terrain se poursuivait </w:t>
      </w:r>
      <w:r w:rsidR="00D2180C" w:rsidRPr="00861072">
        <w:rPr>
          <w:lang w:val="fr-FR"/>
        </w:rPr>
        <w:t>au-delà</w:t>
      </w:r>
      <w:r w:rsidR="00B67A6C" w:rsidRPr="00861072">
        <w:rPr>
          <w:lang w:val="fr-FR"/>
        </w:rPr>
        <w:t xml:space="preserve"> de la période autorisée </w:t>
      </w:r>
      <w:r w:rsidR="00195D19" w:rsidRPr="00861072">
        <w:rPr>
          <w:lang w:val="fr-FR"/>
        </w:rPr>
        <w:t>sans qu</w:t>
      </w:r>
      <w:r w:rsidR="00861072" w:rsidRPr="00861072">
        <w:rPr>
          <w:lang w:val="fr-FR"/>
        </w:rPr>
        <w:t>’</w:t>
      </w:r>
      <w:r w:rsidR="00195D19" w:rsidRPr="00861072">
        <w:rPr>
          <w:lang w:val="fr-FR"/>
        </w:rPr>
        <w:t>un arrêté d</w:t>
      </w:r>
      <w:r w:rsidR="00861072" w:rsidRPr="00861072">
        <w:rPr>
          <w:lang w:val="fr-FR"/>
        </w:rPr>
        <w:t>’</w:t>
      </w:r>
      <w:r w:rsidR="00195D19" w:rsidRPr="00861072">
        <w:rPr>
          <w:lang w:val="fr-FR"/>
        </w:rPr>
        <w:t xml:space="preserve">expropriation </w:t>
      </w:r>
      <w:r w:rsidR="002D0297" w:rsidRPr="00861072">
        <w:rPr>
          <w:lang w:val="fr-FR"/>
        </w:rPr>
        <w:t>eût</w:t>
      </w:r>
      <w:r w:rsidR="00195D19" w:rsidRPr="00861072">
        <w:rPr>
          <w:lang w:val="fr-FR"/>
        </w:rPr>
        <w:t xml:space="preserve"> été pris</w:t>
      </w:r>
      <w:r w:rsidR="002D0297" w:rsidRPr="00861072">
        <w:rPr>
          <w:lang w:val="fr-FR"/>
        </w:rPr>
        <w:t>,</w:t>
      </w:r>
      <w:r w:rsidR="00195D19" w:rsidRPr="00861072">
        <w:rPr>
          <w:lang w:val="fr-FR"/>
        </w:rPr>
        <w:t xml:space="preserve"> </w:t>
      </w:r>
      <w:r w:rsidR="00B67A6C" w:rsidRPr="00861072">
        <w:rPr>
          <w:lang w:val="fr-FR"/>
        </w:rPr>
        <w:t>et qu</w:t>
      </w:r>
      <w:r w:rsidR="00861072" w:rsidRPr="00861072">
        <w:rPr>
          <w:lang w:val="fr-FR"/>
        </w:rPr>
        <w:t>’</w:t>
      </w:r>
      <w:r w:rsidR="00F45AFA" w:rsidRPr="00861072">
        <w:rPr>
          <w:lang w:val="fr-FR"/>
        </w:rPr>
        <w:t xml:space="preserve">aucun </w:t>
      </w:r>
      <w:r w:rsidR="00B67A6C" w:rsidRPr="00861072">
        <w:rPr>
          <w:lang w:val="fr-FR"/>
        </w:rPr>
        <w:t xml:space="preserve">ouvrage public </w:t>
      </w:r>
      <w:r w:rsidR="00B67A6C" w:rsidRPr="00861072">
        <w:rPr>
          <w:lang w:val="fr-FR"/>
        </w:rPr>
        <w:lastRenderedPageBreak/>
        <w:t>n</w:t>
      </w:r>
      <w:r w:rsidR="00861072" w:rsidRPr="00861072">
        <w:rPr>
          <w:lang w:val="fr-FR"/>
        </w:rPr>
        <w:t>’</w:t>
      </w:r>
      <w:r w:rsidR="00B67A6C" w:rsidRPr="00861072">
        <w:rPr>
          <w:lang w:val="fr-FR"/>
        </w:rPr>
        <w:t xml:space="preserve">avait été réalisé. Il demanda </w:t>
      </w:r>
      <w:r w:rsidR="00F45AFA" w:rsidRPr="00861072">
        <w:rPr>
          <w:lang w:val="fr-FR"/>
        </w:rPr>
        <w:t xml:space="preserve">que </w:t>
      </w:r>
      <w:r w:rsidR="00C72E9D" w:rsidRPr="00861072">
        <w:rPr>
          <w:lang w:val="fr-FR"/>
        </w:rPr>
        <w:t>l</w:t>
      </w:r>
      <w:r w:rsidR="00F45AFA" w:rsidRPr="00861072">
        <w:rPr>
          <w:lang w:val="fr-FR"/>
        </w:rPr>
        <w:t>es</w:t>
      </w:r>
      <w:r w:rsidR="00B67A6C" w:rsidRPr="00861072">
        <w:rPr>
          <w:lang w:val="fr-FR"/>
        </w:rPr>
        <w:t xml:space="preserve"> travaux </w:t>
      </w:r>
      <w:r w:rsidR="00C72E9D" w:rsidRPr="00861072">
        <w:rPr>
          <w:lang w:val="fr-FR"/>
        </w:rPr>
        <w:t xml:space="preserve">prévus </w:t>
      </w:r>
      <w:r w:rsidR="00F45AFA" w:rsidRPr="00861072">
        <w:rPr>
          <w:lang w:val="fr-FR"/>
        </w:rPr>
        <w:t xml:space="preserve">ne </w:t>
      </w:r>
      <w:r w:rsidR="002D0297" w:rsidRPr="00861072">
        <w:rPr>
          <w:lang w:val="fr-FR"/>
        </w:rPr>
        <w:t>fussent</w:t>
      </w:r>
      <w:r w:rsidR="00F45AFA" w:rsidRPr="00861072">
        <w:rPr>
          <w:lang w:val="fr-FR"/>
        </w:rPr>
        <w:t xml:space="preserve"> pas </w:t>
      </w:r>
      <w:r w:rsidR="00C72E9D" w:rsidRPr="00861072">
        <w:rPr>
          <w:lang w:val="fr-FR"/>
        </w:rPr>
        <w:t>entrepris</w:t>
      </w:r>
      <w:r w:rsidR="001A6DAE" w:rsidRPr="00861072">
        <w:rPr>
          <w:lang w:val="fr-FR"/>
        </w:rPr>
        <w:t xml:space="preserve">, </w:t>
      </w:r>
      <w:r w:rsidR="00F45AFA" w:rsidRPr="00861072">
        <w:rPr>
          <w:lang w:val="fr-FR"/>
        </w:rPr>
        <w:t>que le</w:t>
      </w:r>
      <w:r w:rsidR="00B67A6C" w:rsidRPr="00861072">
        <w:rPr>
          <w:lang w:val="fr-FR"/>
        </w:rPr>
        <w:t xml:space="preserve"> terrain</w:t>
      </w:r>
      <w:r w:rsidR="00F45AFA" w:rsidRPr="00861072">
        <w:rPr>
          <w:lang w:val="fr-FR"/>
        </w:rPr>
        <w:t xml:space="preserve"> lui </w:t>
      </w:r>
      <w:r w:rsidR="002D0297" w:rsidRPr="00861072">
        <w:rPr>
          <w:lang w:val="fr-FR"/>
        </w:rPr>
        <w:t>fût</w:t>
      </w:r>
      <w:r w:rsidR="00F45AFA" w:rsidRPr="00861072">
        <w:rPr>
          <w:lang w:val="fr-FR"/>
        </w:rPr>
        <w:t xml:space="preserve"> restitué</w:t>
      </w:r>
      <w:r w:rsidR="00B67A6C" w:rsidRPr="00861072">
        <w:rPr>
          <w:lang w:val="fr-FR"/>
        </w:rPr>
        <w:t xml:space="preserve"> </w:t>
      </w:r>
      <w:r w:rsidR="00C72E9D" w:rsidRPr="00861072">
        <w:rPr>
          <w:lang w:val="fr-FR"/>
        </w:rPr>
        <w:t xml:space="preserve">et </w:t>
      </w:r>
      <w:r w:rsidR="00B67A6C" w:rsidRPr="00861072">
        <w:rPr>
          <w:lang w:val="fr-FR"/>
        </w:rPr>
        <w:t>qu</w:t>
      </w:r>
      <w:r w:rsidR="00861072" w:rsidRPr="00861072">
        <w:rPr>
          <w:lang w:val="fr-FR"/>
        </w:rPr>
        <w:t>’</w:t>
      </w:r>
      <w:r w:rsidR="00B67A6C" w:rsidRPr="00861072">
        <w:rPr>
          <w:lang w:val="fr-FR"/>
        </w:rPr>
        <w:t>un dédommagement</w:t>
      </w:r>
      <w:r w:rsidR="00C72E9D" w:rsidRPr="00861072">
        <w:rPr>
          <w:lang w:val="fr-FR"/>
        </w:rPr>
        <w:t xml:space="preserve"> lui </w:t>
      </w:r>
      <w:r w:rsidR="002D0297" w:rsidRPr="00861072">
        <w:rPr>
          <w:lang w:val="fr-FR"/>
        </w:rPr>
        <w:t>fût</w:t>
      </w:r>
      <w:r w:rsidR="00C72E9D" w:rsidRPr="00861072">
        <w:rPr>
          <w:lang w:val="fr-FR"/>
        </w:rPr>
        <w:t xml:space="preserve"> versé</w:t>
      </w:r>
      <w:r w:rsidR="00B67A6C" w:rsidRPr="00861072">
        <w:rPr>
          <w:lang w:val="fr-FR"/>
        </w:rPr>
        <w:t>.</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9</w:t>
      </w:r>
      <w:r w:rsidRPr="00861072">
        <w:rPr>
          <w:lang w:val="fr-FR"/>
        </w:rPr>
        <w:fldChar w:fldCharType="end"/>
      </w:r>
      <w:r w:rsidRPr="00861072">
        <w:rPr>
          <w:lang w:val="fr-FR"/>
        </w:rPr>
        <w:t>.  </w:t>
      </w:r>
      <w:r w:rsidR="00B67A6C" w:rsidRPr="00861072">
        <w:rPr>
          <w:lang w:val="fr-FR"/>
        </w:rPr>
        <w:t xml:space="preserve">Par une ordonnance du 16 juillet 1996, le tribunal, après avoir </w:t>
      </w:r>
      <w:r w:rsidR="000F71AB" w:rsidRPr="00861072">
        <w:rPr>
          <w:lang w:val="fr-FR"/>
        </w:rPr>
        <w:t xml:space="preserve">constaté </w:t>
      </w:r>
      <w:r w:rsidR="00B67A6C" w:rsidRPr="00861072">
        <w:rPr>
          <w:lang w:val="fr-FR"/>
        </w:rPr>
        <w:t>que la période d</w:t>
      </w:r>
      <w:r w:rsidR="00861072" w:rsidRPr="00861072">
        <w:rPr>
          <w:lang w:val="fr-FR"/>
        </w:rPr>
        <w:t>’</w:t>
      </w:r>
      <w:r w:rsidR="00B67A6C" w:rsidRPr="00861072">
        <w:rPr>
          <w:lang w:val="fr-FR"/>
        </w:rPr>
        <w:t>occupation autorisée avait expiré le 15</w:t>
      </w:r>
      <w:r w:rsidR="00FF2637" w:rsidRPr="00861072">
        <w:rPr>
          <w:lang w:val="fr-FR"/>
        </w:rPr>
        <w:t> </w:t>
      </w:r>
      <w:r w:rsidR="00B67A6C" w:rsidRPr="00861072">
        <w:rPr>
          <w:lang w:val="fr-FR"/>
        </w:rPr>
        <w:t>décembre</w:t>
      </w:r>
      <w:r w:rsidR="00FF2637" w:rsidRPr="00861072">
        <w:rPr>
          <w:lang w:val="fr-FR"/>
        </w:rPr>
        <w:t> </w:t>
      </w:r>
      <w:r w:rsidR="00B67A6C" w:rsidRPr="00861072">
        <w:rPr>
          <w:lang w:val="fr-FR"/>
        </w:rPr>
        <w:t>1992 et qu</w:t>
      </w:r>
      <w:r w:rsidR="00861072" w:rsidRPr="00861072">
        <w:rPr>
          <w:lang w:val="fr-FR"/>
        </w:rPr>
        <w:t>’</w:t>
      </w:r>
      <w:r w:rsidR="00B67A6C" w:rsidRPr="00861072">
        <w:rPr>
          <w:lang w:val="fr-FR"/>
        </w:rPr>
        <w:t>aucun</w:t>
      </w:r>
      <w:r w:rsidR="008B2E17" w:rsidRPr="00861072">
        <w:rPr>
          <w:lang w:val="fr-FR"/>
        </w:rPr>
        <w:t xml:space="preserve"> ouvrage</w:t>
      </w:r>
      <w:r w:rsidR="00B67A6C" w:rsidRPr="00861072">
        <w:rPr>
          <w:lang w:val="fr-FR"/>
        </w:rPr>
        <w:t xml:space="preserve"> n</w:t>
      </w:r>
      <w:r w:rsidR="00861072" w:rsidRPr="00861072">
        <w:rPr>
          <w:lang w:val="fr-FR"/>
        </w:rPr>
        <w:t>’</w:t>
      </w:r>
      <w:r w:rsidR="00B67A6C" w:rsidRPr="00861072">
        <w:rPr>
          <w:lang w:val="fr-FR"/>
        </w:rPr>
        <w:t xml:space="preserve">avait été réalisé sur le terrain, ordonna à la municipalité de </w:t>
      </w:r>
      <w:r w:rsidR="00C72E9D" w:rsidRPr="00861072">
        <w:rPr>
          <w:lang w:val="fr-FR"/>
        </w:rPr>
        <w:t>ne pas entreprendre</w:t>
      </w:r>
      <w:r w:rsidR="00B67A6C" w:rsidRPr="00861072">
        <w:rPr>
          <w:lang w:val="fr-FR"/>
        </w:rPr>
        <w:t xml:space="preserve"> </w:t>
      </w:r>
      <w:r w:rsidR="00C72E9D" w:rsidRPr="00861072">
        <w:rPr>
          <w:lang w:val="fr-FR"/>
        </w:rPr>
        <w:t xml:space="preserve">de </w:t>
      </w:r>
      <w:r w:rsidR="00B67A6C" w:rsidRPr="00861072">
        <w:rPr>
          <w:lang w:val="fr-FR"/>
        </w:rPr>
        <w:t>travaux et renvoya l</w:t>
      </w:r>
      <w:r w:rsidR="00861072" w:rsidRPr="00861072">
        <w:rPr>
          <w:lang w:val="fr-FR"/>
        </w:rPr>
        <w:t>’</w:t>
      </w:r>
      <w:r w:rsidR="00B67A6C" w:rsidRPr="00861072">
        <w:rPr>
          <w:lang w:val="fr-FR"/>
        </w:rPr>
        <w:t xml:space="preserve">affaire pour </w:t>
      </w:r>
      <w:r w:rsidR="000F71AB" w:rsidRPr="00861072">
        <w:rPr>
          <w:lang w:val="fr-FR"/>
        </w:rPr>
        <w:t xml:space="preserve">un </w:t>
      </w:r>
      <w:r w:rsidR="00B67A6C" w:rsidRPr="00861072">
        <w:rPr>
          <w:lang w:val="fr-FR"/>
        </w:rPr>
        <w:t xml:space="preserve">examen </w:t>
      </w:r>
      <w:r w:rsidR="000F71AB" w:rsidRPr="00861072">
        <w:rPr>
          <w:lang w:val="fr-FR"/>
        </w:rPr>
        <w:t>au</w:t>
      </w:r>
      <w:r w:rsidR="00B67A6C" w:rsidRPr="00861072">
        <w:rPr>
          <w:lang w:val="fr-FR"/>
        </w:rPr>
        <w:t xml:space="preserve"> fond.</w:t>
      </w:r>
    </w:p>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10</w:t>
      </w:r>
      <w:r w:rsidRPr="00861072">
        <w:rPr>
          <w:lang w:val="fr-FR"/>
        </w:rPr>
        <w:fldChar w:fldCharType="end"/>
      </w:r>
      <w:r w:rsidRPr="00861072">
        <w:rPr>
          <w:lang w:val="fr-FR"/>
        </w:rPr>
        <w:t>.  À</w:t>
      </w:r>
      <w:r w:rsidR="00B67A6C" w:rsidRPr="00861072">
        <w:rPr>
          <w:lang w:val="fr-FR"/>
        </w:rPr>
        <w:t xml:space="preserve"> l</w:t>
      </w:r>
      <w:r w:rsidR="00861072" w:rsidRPr="00861072">
        <w:rPr>
          <w:lang w:val="fr-FR"/>
        </w:rPr>
        <w:t>’</w:t>
      </w:r>
      <w:r w:rsidR="00B67A6C" w:rsidRPr="00861072">
        <w:rPr>
          <w:lang w:val="fr-FR"/>
        </w:rPr>
        <w:t xml:space="preserve">audience du 11 avril 2000, la municipalité </w:t>
      </w:r>
      <w:r w:rsidR="0069473E" w:rsidRPr="00861072">
        <w:rPr>
          <w:lang w:val="fr-FR"/>
        </w:rPr>
        <w:t>déclara devant le</w:t>
      </w:r>
      <w:r w:rsidR="00B67A6C" w:rsidRPr="00861072">
        <w:rPr>
          <w:lang w:val="fr-FR"/>
        </w:rPr>
        <w:t xml:space="preserve"> tribunal qu</w:t>
      </w:r>
      <w:r w:rsidR="00861072" w:rsidRPr="00861072">
        <w:rPr>
          <w:lang w:val="fr-FR"/>
        </w:rPr>
        <w:t>’</w:t>
      </w:r>
      <w:r w:rsidR="00323E9B" w:rsidRPr="00861072">
        <w:rPr>
          <w:lang w:val="fr-FR"/>
        </w:rPr>
        <w:t xml:space="preserve">elle </w:t>
      </w:r>
      <w:r w:rsidR="00B67A6C" w:rsidRPr="00861072">
        <w:rPr>
          <w:lang w:val="fr-FR"/>
        </w:rPr>
        <w:t xml:space="preserve">avait entre-temps </w:t>
      </w:r>
      <w:r w:rsidR="0063168A" w:rsidRPr="00861072">
        <w:rPr>
          <w:lang w:val="fr-FR"/>
        </w:rPr>
        <w:t xml:space="preserve">aménagé </w:t>
      </w:r>
      <w:r w:rsidR="00B67A6C" w:rsidRPr="00861072">
        <w:rPr>
          <w:lang w:val="fr-FR"/>
        </w:rPr>
        <w:t>une partie du cimetièr</w:t>
      </w:r>
      <w:r w:rsidR="00323E9B" w:rsidRPr="00861072">
        <w:rPr>
          <w:lang w:val="fr-FR"/>
        </w:rPr>
        <w:t>e</w:t>
      </w:r>
      <w:r w:rsidR="0069473E" w:rsidRPr="00861072">
        <w:rPr>
          <w:lang w:val="fr-FR"/>
        </w:rPr>
        <w:t>, qu</w:t>
      </w:r>
      <w:r w:rsidR="00861072" w:rsidRPr="00861072">
        <w:rPr>
          <w:lang w:val="fr-FR"/>
        </w:rPr>
        <w:t>’</w:t>
      </w:r>
      <w:r w:rsidR="0069473E" w:rsidRPr="00861072">
        <w:rPr>
          <w:lang w:val="fr-FR"/>
        </w:rPr>
        <w:t>elle avait ainsi</w:t>
      </w:r>
      <w:r w:rsidR="00323E9B" w:rsidRPr="00861072">
        <w:rPr>
          <w:lang w:val="fr-FR"/>
        </w:rPr>
        <w:t xml:space="preserve"> contreven</w:t>
      </w:r>
      <w:r w:rsidR="0069473E" w:rsidRPr="00861072">
        <w:rPr>
          <w:lang w:val="fr-FR"/>
        </w:rPr>
        <w:t>u</w:t>
      </w:r>
      <w:r w:rsidR="00323E9B" w:rsidRPr="00861072">
        <w:rPr>
          <w:lang w:val="fr-FR"/>
        </w:rPr>
        <w:t xml:space="preserve"> à l</w:t>
      </w:r>
      <w:r w:rsidR="00861072" w:rsidRPr="00861072">
        <w:rPr>
          <w:lang w:val="fr-FR"/>
        </w:rPr>
        <w:t>’</w:t>
      </w:r>
      <w:r w:rsidR="00323E9B" w:rsidRPr="00861072">
        <w:rPr>
          <w:lang w:val="fr-FR"/>
        </w:rPr>
        <w:t xml:space="preserve">ordonnance du 16 juillet 1996 </w:t>
      </w:r>
      <w:r w:rsidR="00B67A6C" w:rsidRPr="00861072">
        <w:rPr>
          <w:lang w:val="fr-FR"/>
        </w:rPr>
        <w:t xml:space="preserve">et que la propriété du terrain </w:t>
      </w:r>
      <w:r w:rsidR="005242EC" w:rsidRPr="00861072">
        <w:rPr>
          <w:lang w:val="fr-FR"/>
        </w:rPr>
        <w:t>avait donc été transférée à son bénéfice</w:t>
      </w:r>
      <w:r w:rsidR="00B67A6C" w:rsidRPr="00861072">
        <w:rPr>
          <w:lang w:val="fr-FR"/>
        </w:rPr>
        <w:t>.</w:t>
      </w:r>
    </w:p>
    <w:bookmarkStart w:id="4" w:name="Jugement_Rome_2002"/>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11</w:t>
      </w:r>
      <w:r w:rsidRPr="00861072">
        <w:rPr>
          <w:lang w:val="fr-FR"/>
        </w:rPr>
        <w:fldChar w:fldCharType="end"/>
      </w:r>
      <w:bookmarkEnd w:id="4"/>
      <w:r w:rsidRPr="00861072">
        <w:rPr>
          <w:lang w:val="fr-FR"/>
        </w:rPr>
        <w:t>.  </w:t>
      </w:r>
      <w:r w:rsidR="00B67A6C" w:rsidRPr="00861072">
        <w:rPr>
          <w:lang w:val="fr-FR"/>
        </w:rPr>
        <w:t xml:space="preserve">Par un jugement non définitif du 15 janvier 2002, le tribunal déclara que la propriété du terrain était passée à </w:t>
      </w:r>
      <w:r w:rsidR="00323E9B" w:rsidRPr="00861072">
        <w:rPr>
          <w:lang w:val="fr-FR"/>
        </w:rPr>
        <w:t xml:space="preserve">la municipalité </w:t>
      </w:r>
      <w:r w:rsidR="00886BB7" w:rsidRPr="00861072">
        <w:rPr>
          <w:lang w:val="fr-FR"/>
        </w:rPr>
        <w:t>par</w:t>
      </w:r>
      <w:r w:rsidR="00B67A6C" w:rsidRPr="00861072">
        <w:rPr>
          <w:lang w:val="fr-FR"/>
        </w:rPr>
        <w:t xml:space="preserve"> </w:t>
      </w:r>
      <w:r w:rsidR="000F71AB" w:rsidRPr="00861072">
        <w:rPr>
          <w:lang w:val="fr-FR"/>
        </w:rPr>
        <w:t>l</w:t>
      </w:r>
      <w:r w:rsidR="00861072" w:rsidRPr="00861072">
        <w:rPr>
          <w:lang w:val="fr-FR"/>
        </w:rPr>
        <w:t>’</w:t>
      </w:r>
      <w:r w:rsidR="00B67A6C" w:rsidRPr="00861072">
        <w:rPr>
          <w:lang w:val="fr-FR"/>
        </w:rPr>
        <w:t>effet de la construction de l</w:t>
      </w:r>
      <w:r w:rsidR="00861072" w:rsidRPr="00861072">
        <w:rPr>
          <w:lang w:val="fr-FR"/>
        </w:rPr>
        <w:t>’</w:t>
      </w:r>
      <w:r w:rsidR="00B67A6C" w:rsidRPr="00861072">
        <w:rPr>
          <w:lang w:val="fr-FR"/>
        </w:rPr>
        <w:t>ouvrage public</w:t>
      </w:r>
      <w:r w:rsidR="00886BB7" w:rsidRPr="00861072">
        <w:rPr>
          <w:lang w:val="fr-FR"/>
        </w:rPr>
        <w:t xml:space="preserve">, sans préciser </w:t>
      </w:r>
      <w:r w:rsidR="000F71AB" w:rsidRPr="00861072">
        <w:rPr>
          <w:lang w:val="fr-FR"/>
        </w:rPr>
        <w:t>la date du transfert de propriété</w:t>
      </w:r>
      <w:r w:rsidR="00886BB7" w:rsidRPr="00861072">
        <w:rPr>
          <w:lang w:val="fr-FR"/>
        </w:rPr>
        <w:t>,</w:t>
      </w:r>
      <w:r w:rsidR="00B67A6C" w:rsidRPr="00861072">
        <w:rPr>
          <w:lang w:val="fr-FR"/>
        </w:rPr>
        <w:t xml:space="preserve"> et </w:t>
      </w:r>
      <w:r w:rsidR="0069473E" w:rsidRPr="00861072">
        <w:rPr>
          <w:lang w:val="fr-FR"/>
        </w:rPr>
        <w:t xml:space="preserve">il </w:t>
      </w:r>
      <w:r w:rsidR="00B67A6C" w:rsidRPr="00861072">
        <w:rPr>
          <w:lang w:val="fr-FR"/>
        </w:rPr>
        <w:t xml:space="preserve">ordonna une expertise </w:t>
      </w:r>
      <w:r w:rsidR="0069473E" w:rsidRPr="00861072">
        <w:rPr>
          <w:lang w:val="fr-FR"/>
        </w:rPr>
        <w:t>visant au calcul du</w:t>
      </w:r>
      <w:r w:rsidR="00B67A6C" w:rsidRPr="00861072">
        <w:rPr>
          <w:lang w:val="fr-FR"/>
        </w:rPr>
        <w:t xml:space="preserve"> </w:t>
      </w:r>
      <w:r w:rsidR="000F71AB" w:rsidRPr="00861072">
        <w:rPr>
          <w:lang w:val="fr-FR"/>
        </w:rPr>
        <w:t xml:space="preserve">montant </w:t>
      </w:r>
      <w:r w:rsidR="00E26990" w:rsidRPr="00861072">
        <w:rPr>
          <w:lang w:val="fr-FR"/>
        </w:rPr>
        <w:t xml:space="preserve">du </w:t>
      </w:r>
      <w:r w:rsidR="00B67A6C" w:rsidRPr="00861072">
        <w:rPr>
          <w:lang w:val="fr-FR"/>
        </w:rPr>
        <w:t xml:space="preserve">dédommagement </w:t>
      </w:r>
      <w:r w:rsidR="000F71AB" w:rsidRPr="00861072">
        <w:rPr>
          <w:lang w:val="fr-FR"/>
        </w:rPr>
        <w:t>d</w:t>
      </w:r>
      <w:r w:rsidR="006D2861" w:rsidRPr="00861072">
        <w:rPr>
          <w:lang w:val="fr-FR"/>
        </w:rPr>
        <w:t>û</w:t>
      </w:r>
      <w:r w:rsidR="000F71AB" w:rsidRPr="00861072">
        <w:rPr>
          <w:lang w:val="fr-FR"/>
        </w:rPr>
        <w:t xml:space="preserve"> en </w:t>
      </w:r>
      <w:r w:rsidR="0063168A" w:rsidRPr="00861072">
        <w:rPr>
          <w:lang w:val="fr-FR"/>
        </w:rPr>
        <w:t>vertu</w:t>
      </w:r>
      <w:r w:rsidR="000F71AB" w:rsidRPr="00861072">
        <w:rPr>
          <w:lang w:val="fr-FR"/>
        </w:rPr>
        <w:t xml:space="preserve"> de</w:t>
      </w:r>
      <w:r w:rsidR="00B67A6C" w:rsidRPr="00861072">
        <w:rPr>
          <w:lang w:val="fr-FR"/>
        </w:rPr>
        <w:t xml:space="preserve"> la loi n</w:t>
      </w:r>
      <w:r w:rsidR="008A1DE3" w:rsidRPr="00861072">
        <w:rPr>
          <w:vertAlign w:val="superscript"/>
          <w:lang w:val="fr-FR"/>
        </w:rPr>
        <w:t>o</w:t>
      </w:r>
      <w:r w:rsidR="00FD2F09" w:rsidRPr="00861072">
        <w:rPr>
          <w:lang w:val="fr-FR"/>
        </w:rPr>
        <w:t> </w:t>
      </w:r>
      <w:r w:rsidR="0089771E" w:rsidRPr="00861072">
        <w:rPr>
          <w:lang w:val="fr-FR"/>
        </w:rPr>
        <w:t>6</w:t>
      </w:r>
      <w:r w:rsidR="00B67A6C" w:rsidRPr="00861072">
        <w:rPr>
          <w:lang w:val="fr-FR"/>
        </w:rPr>
        <w:t>62 de 1996.</w:t>
      </w:r>
    </w:p>
    <w:bookmarkStart w:id="5" w:name="Expertise"/>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12</w:t>
      </w:r>
      <w:r w:rsidRPr="00861072">
        <w:rPr>
          <w:lang w:val="fr-FR"/>
        </w:rPr>
        <w:fldChar w:fldCharType="end"/>
      </w:r>
      <w:bookmarkEnd w:id="5"/>
      <w:r w:rsidRPr="00861072">
        <w:rPr>
          <w:lang w:val="fr-FR"/>
        </w:rPr>
        <w:t>.  </w:t>
      </w:r>
      <w:r w:rsidR="003D37C7" w:rsidRPr="00861072">
        <w:rPr>
          <w:lang w:val="fr-FR"/>
        </w:rPr>
        <w:t>Dans son rapport déposé le 9 mai 2003, l</w:t>
      </w:r>
      <w:r w:rsidR="00861072" w:rsidRPr="00861072">
        <w:rPr>
          <w:lang w:val="fr-FR"/>
        </w:rPr>
        <w:t>’</w:t>
      </w:r>
      <w:r w:rsidR="003D37C7" w:rsidRPr="00861072">
        <w:rPr>
          <w:lang w:val="fr-FR"/>
        </w:rPr>
        <w:t xml:space="preserve">expert </w:t>
      </w:r>
      <w:r w:rsidR="006F7F64" w:rsidRPr="00861072">
        <w:rPr>
          <w:lang w:val="fr-FR"/>
        </w:rPr>
        <w:t xml:space="preserve">indiqua </w:t>
      </w:r>
      <w:r w:rsidR="003D37C7" w:rsidRPr="00861072">
        <w:rPr>
          <w:lang w:val="fr-FR"/>
        </w:rPr>
        <w:t xml:space="preserve">que la propriété du terrain était passée à la municipalité le 21 novembre 1988, soit le jour où </w:t>
      </w:r>
      <w:r w:rsidR="005242EC" w:rsidRPr="00861072">
        <w:rPr>
          <w:lang w:val="fr-FR"/>
        </w:rPr>
        <w:t xml:space="preserve">celle-ci </w:t>
      </w:r>
      <w:r w:rsidR="003D37C7" w:rsidRPr="00861072">
        <w:rPr>
          <w:lang w:val="fr-FR"/>
        </w:rPr>
        <w:t xml:space="preserve">avait posé les premières structures mobiles pour délimiter la zone concernée par les travaux. Il </w:t>
      </w:r>
      <w:r w:rsidR="00B67A6C" w:rsidRPr="00861072">
        <w:rPr>
          <w:lang w:val="fr-FR"/>
        </w:rPr>
        <w:t xml:space="preserve">estima </w:t>
      </w:r>
      <w:r w:rsidR="006F7F64" w:rsidRPr="00861072">
        <w:rPr>
          <w:lang w:val="fr-FR"/>
        </w:rPr>
        <w:t xml:space="preserve">que </w:t>
      </w:r>
      <w:r w:rsidR="00B67A6C" w:rsidRPr="00861072">
        <w:rPr>
          <w:lang w:val="fr-FR"/>
        </w:rPr>
        <w:t>la valeur vénale du terrain</w:t>
      </w:r>
      <w:r w:rsidR="00EB2C3F" w:rsidRPr="00861072">
        <w:rPr>
          <w:lang w:val="fr-FR"/>
        </w:rPr>
        <w:t xml:space="preserve"> </w:t>
      </w:r>
      <w:r w:rsidR="006F7F64" w:rsidRPr="00861072">
        <w:rPr>
          <w:lang w:val="fr-FR"/>
        </w:rPr>
        <w:t>s</w:t>
      </w:r>
      <w:r w:rsidR="00861072" w:rsidRPr="00861072">
        <w:rPr>
          <w:lang w:val="fr-FR"/>
        </w:rPr>
        <w:t>’</w:t>
      </w:r>
      <w:r w:rsidR="006F7F64" w:rsidRPr="00861072">
        <w:rPr>
          <w:lang w:val="fr-FR"/>
        </w:rPr>
        <w:t xml:space="preserve">élevait </w:t>
      </w:r>
      <w:r w:rsidR="003D6552" w:rsidRPr="00861072">
        <w:rPr>
          <w:lang w:val="fr-FR"/>
        </w:rPr>
        <w:t xml:space="preserve">à cette date </w:t>
      </w:r>
      <w:r w:rsidR="00EB2C3F" w:rsidRPr="00861072">
        <w:rPr>
          <w:lang w:val="fr-FR"/>
        </w:rPr>
        <w:t xml:space="preserve">à 4 253,02 </w:t>
      </w:r>
      <w:r w:rsidR="006F7F64" w:rsidRPr="00861072">
        <w:rPr>
          <w:lang w:val="fr-FR"/>
        </w:rPr>
        <w:t>euros (</w:t>
      </w:r>
      <w:r w:rsidR="00EB2C3F" w:rsidRPr="00861072">
        <w:rPr>
          <w:lang w:val="fr-FR"/>
        </w:rPr>
        <w:t>EUR</w:t>
      </w:r>
      <w:r w:rsidR="006F7F64" w:rsidRPr="00861072">
        <w:rPr>
          <w:lang w:val="fr-FR"/>
        </w:rPr>
        <w:t>)</w:t>
      </w:r>
      <w:r w:rsidR="00EB2C3F" w:rsidRPr="00861072">
        <w:rPr>
          <w:lang w:val="fr-FR"/>
        </w:rPr>
        <w:t>.</w:t>
      </w:r>
      <w:r w:rsidR="00B67A6C" w:rsidRPr="00861072">
        <w:rPr>
          <w:lang w:val="fr-FR"/>
        </w:rPr>
        <w:t xml:space="preserve"> </w:t>
      </w:r>
      <w:r w:rsidR="001D3A50" w:rsidRPr="00861072">
        <w:rPr>
          <w:lang w:val="fr-FR"/>
        </w:rPr>
        <w:t>Faisant application des critères introduits par la loi n</w:t>
      </w:r>
      <w:r w:rsidR="001D3A50" w:rsidRPr="00861072">
        <w:rPr>
          <w:vertAlign w:val="superscript"/>
          <w:lang w:val="fr-FR"/>
        </w:rPr>
        <w:t xml:space="preserve">o </w:t>
      </w:r>
      <w:r w:rsidR="001D3A50" w:rsidRPr="00861072">
        <w:rPr>
          <w:lang w:val="fr-FR"/>
        </w:rPr>
        <w:t xml:space="preserve">662 de 1996, </w:t>
      </w:r>
      <w:r w:rsidR="006F7F64" w:rsidRPr="00861072">
        <w:rPr>
          <w:lang w:val="fr-FR"/>
        </w:rPr>
        <w:t xml:space="preserve">il </w:t>
      </w:r>
      <w:r w:rsidR="001D3A50" w:rsidRPr="00861072">
        <w:rPr>
          <w:lang w:val="fr-FR"/>
        </w:rPr>
        <w:t>calcula que l</w:t>
      </w:r>
      <w:r w:rsidR="00861072" w:rsidRPr="00861072">
        <w:rPr>
          <w:lang w:val="fr-FR"/>
        </w:rPr>
        <w:t>’</w:t>
      </w:r>
      <w:r w:rsidR="001D3A50" w:rsidRPr="00861072">
        <w:rPr>
          <w:lang w:val="fr-FR"/>
        </w:rPr>
        <w:t xml:space="preserve">indemnité due aux </w:t>
      </w:r>
      <w:r w:rsidR="007344B2" w:rsidRPr="00861072">
        <w:rPr>
          <w:lang w:val="fr-FR"/>
        </w:rPr>
        <w:t>propriétaires du terrain</w:t>
      </w:r>
      <w:r w:rsidR="001D3A50" w:rsidRPr="00861072">
        <w:rPr>
          <w:lang w:val="fr-FR"/>
        </w:rPr>
        <w:t xml:space="preserve"> était de </w:t>
      </w:r>
      <w:r w:rsidR="00B67A6C" w:rsidRPr="00861072">
        <w:rPr>
          <w:lang w:val="fr-FR"/>
        </w:rPr>
        <w:t>529,35 EUR.</w:t>
      </w:r>
    </w:p>
    <w:bookmarkStart w:id="6" w:name="Bartolomeo_Lori"/>
    <w:p w:rsidR="00B67A6C"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13</w:t>
      </w:r>
      <w:r w:rsidRPr="00861072">
        <w:rPr>
          <w:lang w:val="fr-FR"/>
        </w:rPr>
        <w:fldChar w:fldCharType="end"/>
      </w:r>
      <w:bookmarkEnd w:id="6"/>
      <w:r w:rsidRPr="00861072">
        <w:rPr>
          <w:lang w:val="fr-FR"/>
        </w:rPr>
        <w:t>.  </w:t>
      </w:r>
      <w:r w:rsidR="00B67A6C" w:rsidRPr="00861072">
        <w:rPr>
          <w:lang w:val="fr-FR"/>
        </w:rPr>
        <w:t xml:space="preserve">Entre-temps, le </w:t>
      </w:r>
      <w:r w:rsidR="00B67A6C" w:rsidRPr="00861072">
        <w:rPr>
          <w:i/>
          <w:lang w:val="fr-FR"/>
        </w:rPr>
        <w:t>de cujus</w:t>
      </w:r>
      <w:r w:rsidR="00B67A6C" w:rsidRPr="00861072">
        <w:rPr>
          <w:lang w:val="fr-FR"/>
        </w:rPr>
        <w:t xml:space="preserve"> des requérants</w:t>
      </w:r>
      <w:r w:rsidR="007D1DCE" w:rsidRPr="00861072">
        <w:rPr>
          <w:lang w:val="fr-FR"/>
        </w:rPr>
        <w:t>, M. Bartolomeo Lori,</w:t>
      </w:r>
      <w:r w:rsidR="00B67A6C" w:rsidRPr="00861072">
        <w:rPr>
          <w:lang w:val="fr-FR"/>
        </w:rPr>
        <w:t xml:space="preserve"> décéda et ceux-ci se constituèrent </w:t>
      </w:r>
      <w:r w:rsidR="00EF6759" w:rsidRPr="00861072">
        <w:rPr>
          <w:lang w:val="fr-FR"/>
        </w:rPr>
        <w:t xml:space="preserve">parties </w:t>
      </w:r>
      <w:r w:rsidR="00B67A6C" w:rsidRPr="00861072">
        <w:rPr>
          <w:lang w:val="fr-FR"/>
        </w:rPr>
        <w:t>dans la procédure.</w:t>
      </w:r>
    </w:p>
    <w:p w:rsidR="00807213" w:rsidRPr="00861072" w:rsidRDefault="00BB072E"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14</w:t>
      </w:r>
      <w:r w:rsidRPr="00861072">
        <w:rPr>
          <w:lang w:val="fr-FR"/>
        </w:rPr>
        <w:fldChar w:fldCharType="end"/>
      </w:r>
      <w:r w:rsidRPr="00861072">
        <w:rPr>
          <w:lang w:val="fr-FR"/>
        </w:rPr>
        <w:t>.  </w:t>
      </w:r>
      <w:r w:rsidR="00807213" w:rsidRPr="00861072">
        <w:rPr>
          <w:lang w:val="fr-FR"/>
        </w:rPr>
        <w:t xml:space="preserve">Par un jugement déposé le 13 avril 2004, le tribunal </w:t>
      </w:r>
      <w:r w:rsidR="000A3E60" w:rsidRPr="00861072">
        <w:rPr>
          <w:lang w:val="fr-FR"/>
        </w:rPr>
        <w:t xml:space="preserve">confirma </w:t>
      </w:r>
      <w:r w:rsidR="005963B3" w:rsidRPr="00861072">
        <w:rPr>
          <w:lang w:val="fr-FR"/>
        </w:rPr>
        <w:t xml:space="preserve">le transfert de la propriété </w:t>
      </w:r>
      <w:r w:rsidR="000A3E60" w:rsidRPr="00861072">
        <w:rPr>
          <w:lang w:val="fr-FR"/>
        </w:rPr>
        <w:t xml:space="preserve">du terrain des requérants </w:t>
      </w:r>
      <w:r w:rsidR="005963B3" w:rsidRPr="00861072">
        <w:rPr>
          <w:lang w:val="fr-FR"/>
        </w:rPr>
        <w:t xml:space="preserve">à </w:t>
      </w:r>
      <w:r w:rsidR="005242EC" w:rsidRPr="00861072">
        <w:rPr>
          <w:lang w:val="fr-FR"/>
        </w:rPr>
        <w:t>la munic</w:t>
      </w:r>
      <w:r w:rsidR="002B0686" w:rsidRPr="00861072">
        <w:rPr>
          <w:lang w:val="fr-FR"/>
        </w:rPr>
        <w:t>i</w:t>
      </w:r>
      <w:r w:rsidR="005242EC" w:rsidRPr="00861072">
        <w:rPr>
          <w:lang w:val="fr-FR"/>
        </w:rPr>
        <w:t xml:space="preserve">palité </w:t>
      </w:r>
      <w:r w:rsidR="005963B3" w:rsidRPr="00861072">
        <w:rPr>
          <w:lang w:val="fr-FR"/>
        </w:rPr>
        <w:t>à la suite de</w:t>
      </w:r>
      <w:r w:rsidR="000A3E60" w:rsidRPr="00861072">
        <w:rPr>
          <w:lang w:val="fr-FR"/>
        </w:rPr>
        <w:t xml:space="preserve"> l</w:t>
      </w:r>
      <w:r w:rsidR="00861072" w:rsidRPr="00861072">
        <w:rPr>
          <w:lang w:val="fr-FR"/>
        </w:rPr>
        <w:t>’</w:t>
      </w:r>
      <w:r w:rsidR="000A3E60" w:rsidRPr="00861072">
        <w:rPr>
          <w:lang w:val="fr-FR"/>
        </w:rPr>
        <w:t xml:space="preserve">application du principe </w:t>
      </w:r>
      <w:r w:rsidR="00057FDC" w:rsidRPr="00861072">
        <w:rPr>
          <w:lang w:val="fr-FR"/>
        </w:rPr>
        <w:t>de l</w:t>
      </w:r>
      <w:r w:rsidR="00861072" w:rsidRPr="00861072">
        <w:rPr>
          <w:lang w:val="fr-FR"/>
        </w:rPr>
        <w:t>’</w:t>
      </w:r>
      <w:r w:rsidR="00057FDC" w:rsidRPr="00861072">
        <w:rPr>
          <w:lang w:val="fr-FR"/>
        </w:rPr>
        <w:t xml:space="preserve">expropriation </w:t>
      </w:r>
      <w:r w:rsidR="000A3E60" w:rsidRPr="00861072">
        <w:rPr>
          <w:lang w:val="fr-FR"/>
        </w:rPr>
        <w:t>indirecte</w:t>
      </w:r>
      <w:r w:rsidR="00A73167" w:rsidRPr="00861072">
        <w:rPr>
          <w:lang w:val="fr-FR"/>
        </w:rPr>
        <w:t xml:space="preserve">. Il </w:t>
      </w:r>
      <w:r w:rsidR="00807213" w:rsidRPr="00861072">
        <w:rPr>
          <w:lang w:val="fr-FR"/>
        </w:rPr>
        <w:t xml:space="preserve">condamna la municipalité à payer aux </w:t>
      </w:r>
      <w:r w:rsidR="00A767E3" w:rsidRPr="00861072">
        <w:rPr>
          <w:lang w:val="fr-FR"/>
        </w:rPr>
        <w:t xml:space="preserve">propriétaires du terrain </w:t>
      </w:r>
      <w:r w:rsidR="00807213" w:rsidRPr="00861072">
        <w:rPr>
          <w:lang w:val="fr-FR"/>
        </w:rPr>
        <w:t>la somme globale de 1</w:t>
      </w:r>
      <w:r w:rsidR="00E570A5" w:rsidRPr="00861072">
        <w:rPr>
          <w:lang w:val="fr-FR"/>
        </w:rPr>
        <w:t> </w:t>
      </w:r>
      <w:r w:rsidR="00807213" w:rsidRPr="00861072">
        <w:rPr>
          <w:lang w:val="fr-FR"/>
        </w:rPr>
        <w:t>100</w:t>
      </w:r>
      <w:r w:rsidR="00E570A5" w:rsidRPr="00861072">
        <w:rPr>
          <w:lang w:val="fr-FR"/>
        </w:rPr>
        <w:t> </w:t>
      </w:r>
      <w:r w:rsidR="00807213" w:rsidRPr="00861072">
        <w:rPr>
          <w:lang w:val="fr-FR"/>
        </w:rPr>
        <w:t xml:space="preserve">EUR, </w:t>
      </w:r>
      <w:r w:rsidR="0069473E" w:rsidRPr="00861072">
        <w:rPr>
          <w:lang w:val="fr-FR"/>
        </w:rPr>
        <w:t>à savoir</w:t>
      </w:r>
      <w:r w:rsidR="00807213" w:rsidRPr="00861072">
        <w:rPr>
          <w:lang w:val="fr-FR"/>
        </w:rPr>
        <w:t xml:space="preserve"> le montant fixé par l</w:t>
      </w:r>
      <w:r w:rsidR="00861072" w:rsidRPr="00861072">
        <w:rPr>
          <w:lang w:val="fr-FR"/>
        </w:rPr>
        <w:t>’</w:t>
      </w:r>
      <w:r w:rsidR="00807213" w:rsidRPr="00861072">
        <w:rPr>
          <w:lang w:val="fr-FR"/>
        </w:rPr>
        <w:t>expert à titre de dédommagement, réévalué et assorti d</w:t>
      </w:r>
      <w:r w:rsidR="00861072" w:rsidRPr="00861072">
        <w:rPr>
          <w:lang w:val="fr-FR"/>
        </w:rPr>
        <w:t>’</w:t>
      </w:r>
      <w:r w:rsidR="00807213" w:rsidRPr="00861072">
        <w:rPr>
          <w:lang w:val="fr-FR"/>
        </w:rPr>
        <w:t>intérêts.</w:t>
      </w:r>
    </w:p>
    <w:p w:rsidR="00807213" w:rsidRPr="00861072" w:rsidRDefault="0022019D"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15</w:t>
      </w:r>
      <w:r w:rsidRPr="00861072">
        <w:rPr>
          <w:lang w:val="fr-FR"/>
        </w:rPr>
        <w:fldChar w:fldCharType="end"/>
      </w:r>
      <w:r w:rsidRPr="00861072">
        <w:rPr>
          <w:lang w:val="fr-FR"/>
        </w:rPr>
        <w:t>. </w:t>
      </w:r>
      <w:r w:rsidR="00FF2637" w:rsidRPr="00861072">
        <w:rPr>
          <w:lang w:val="fr-FR"/>
        </w:rPr>
        <w:t> </w:t>
      </w:r>
      <w:r w:rsidR="00807213" w:rsidRPr="00861072">
        <w:rPr>
          <w:lang w:val="fr-FR"/>
        </w:rPr>
        <w:t xml:space="preserve">Ce jugement </w:t>
      </w:r>
      <w:r w:rsidR="006D2861" w:rsidRPr="00861072">
        <w:rPr>
          <w:lang w:val="fr-FR"/>
        </w:rPr>
        <w:t xml:space="preserve">devint définitif </w:t>
      </w:r>
      <w:r w:rsidR="00807213" w:rsidRPr="00861072">
        <w:rPr>
          <w:lang w:val="fr-FR"/>
        </w:rPr>
        <w:t>le 28 mai 2005.</w:t>
      </w:r>
    </w:p>
    <w:p w:rsidR="00E77CB3" w:rsidRPr="00861072" w:rsidRDefault="00E77CB3" w:rsidP="00861072">
      <w:pPr>
        <w:pStyle w:val="ECHRHeading1"/>
        <w:rPr>
          <w:lang w:val="fr-FR"/>
        </w:rPr>
      </w:pPr>
      <w:r w:rsidRPr="00861072">
        <w:rPr>
          <w:lang w:val="fr-FR"/>
        </w:rPr>
        <w:t>II.</w:t>
      </w:r>
      <w:proofErr w:type="gramStart"/>
      <w:r w:rsidRPr="00861072">
        <w:rPr>
          <w:lang w:val="fr-FR"/>
        </w:rPr>
        <w:t>  LE</w:t>
      </w:r>
      <w:proofErr w:type="gramEnd"/>
      <w:r w:rsidRPr="00861072">
        <w:rPr>
          <w:lang w:val="fr-FR"/>
        </w:rPr>
        <w:t xml:space="preserve"> DROIT ET LA PRATIQUE INTERNES PERTINENTS</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16</w:t>
      </w:r>
      <w:r w:rsidRPr="00861072">
        <w:rPr>
          <w:lang w:val="fr-FR"/>
        </w:rPr>
        <w:fldChar w:fldCharType="end"/>
      </w:r>
      <w:r w:rsidR="00E77CB3" w:rsidRPr="00861072">
        <w:rPr>
          <w:lang w:val="fr-FR"/>
        </w:rPr>
        <w:t>.  </w:t>
      </w:r>
      <w:r w:rsidR="007D49FB" w:rsidRPr="00861072">
        <w:rPr>
          <w:lang w:val="fr-FR"/>
        </w:rPr>
        <w:t xml:space="preserve">Pour ce qui est du droit et de la pratique internes pertinents dans la présente affaire, la Cour renvoie à </w:t>
      </w:r>
      <w:r w:rsidR="0069473E" w:rsidRPr="00861072">
        <w:rPr>
          <w:lang w:val="fr-FR"/>
        </w:rPr>
        <w:t xml:space="preserve">son </w:t>
      </w:r>
      <w:r w:rsidR="007D49FB" w:rsidRPr="00861072">
        <w:rPr>
          <w:lang w:val="fr-FR"/>
        </w:rPr>
        <w:t xml:space="preserve">arrêt </w:t>
      </w:r>
      <w:proofErr w:type="spellStart"/>
      <w:r w:rsidR="007D49FB" w:rsidRPr="00861072">
        <w:rPr>
          <w:i/>
          <w:lang w:val="fr-FR"/>
        </w:rPr>
        <w:t>Messana</w:t>
      </w:r>
      <w:proofErr w:type="spellEnd"/>
      <w:r w:rsidR="007D49FB" w:rsidRPr="00861072">
        <w:rPr>
          <w:i/>
          <w:lang w:val="fr-FR"/>
        </w:rPr>
        <w:t xml:space="preserve"> c. </w:t>
      </w:r>
      <w:r w:rsidR="00EE7DEE" w:rsidRPr="00861072">
        <w:rPr>
          <w:i/>
          <w:lang w:val="fr-FR"/>
        </w:rPr>
        <w:t>Italie</w:t>
      </w:r>
      <w:r w:rsidR="00EE7DEE" w:rsidRPr="00861072">
        <w:rPr>
          <w:lang w:val="fr-FR"/>
        </w:rPr>
        <w:t xml:space="preserve"> (</w:t>
      </w:r>
      <w:r w:rsidR="007D49FB" w:rsidRPr="00861072">
        <w:rPr>
          <w:lang w:val="fr-FR"/>
        </w:rPr>
        <w:t>n</w:t>
      </w:r>
      <w:r w:rsidR="007D49FB" w:rsidRPr="00861072">
        <w:rPr>
          <w:vertAlign w:val="superscript"/>
          <w:lang w:val="fr-FR"/>
        </w:rPr>
        <w:t>o</w:t>
      </w:r>
      <w:r w:rsidR="007D49FB" w:rsidRPr="00861072">
        <w:rPr>
          <w:lang w:val="fr-FR"/>
        </w:rPr>
        <w:t xml:space="preserve"> 26128/04, §§ 17-20, 9 février 2017</w:t>
      </w:r>
      <w:r w:rsidR="00EE7DEE" w:rsidRPr="00861072">
        <w:rPr>
          <w:lang w:val="fr-FR"/>
        </w:rPr>
        <w:t>)</w:t>
      </w:r>
      <w:r w:rsidR="007D49FB" w:rsidRPr="00861072">
        <w:rPr>
          <w:lang w:val="fr-FR"/>
        </w:rPr>
        <w:t>.</w:t>
      </w:r>
    </w:p>
    <w:p w:rsidR="00E52443" w:rsidRPr="00861072" w:rsidRDefault="00E77CB3" w:rsidP="00861072">
      <w:pPr>
        <w:pStyle w:val="ECHRTitle1"/>
        <w:rPr>
          <w:lang w:val="fr-FR"/>
        </w:rPr>
      </w:pPr>
      <w:r w:rsidRPr="00861072">
        <w:rPr>
          <w:lang w:val="fr-FR"/>
        </w:rPr>
        <w:lastRenderedPageBreak/>
        <w:t>EN DROIT</w:t>
      </w:r>
    </w:p>
    <w:p w:rsidR="00011496" w:rsidRPr="00861072" w:rsidRDefault="00E52443" w:rsidP="00861072">
      <w:pPr>
        <w:pStyle w:val="ECHRHeading1"/>
        <w:rPr>
          <w:lang w:val="fr-FR"/>
        </w:rPr>
      </w:pPr>
      <w:r w:rsidRPr="00861072">
        <w:rPr>
          <w:lang w:val="fr-FR"/>
        </w:rPr>
        <w:t>I.</w:t>
      </w:r>
      <w:proofErr w:type="gramStart"/>
      <w:r w:rsidR="00E77CB3" w:rsidRPr="00861072">
        <w:rPr>
          <w:lang w:val="fr-FR"/>
        </w:rPr>
        <w:t>  </w:t>
      </w:r>
      <w:r w:rsidR="00011496" w:rsidRPr="00861072">
        <w:rPr>
          <w:lang w:val="fr-FR"/>
        </w:rPr>
        <w:t>SUR</w:t>
      </w:r>
      <w:proofErr w:type="gramEnd"/>
      <w:r w:rsidR="00011496" w:rsidRPr="00861072">
        <w:rPr>
          <w:lang w:val="fr-FR"/>
        </w:rPr>
        <w:t xml:space="preserve"> LA DEMANDE DE RADIATION DU RÔLE DE LA REQU</w:t>
      </w:r>
      <w:r w:rsidR="00ED6CBC" w:rsidRPr="00861072">
        <w:rPr>
          <w:lang w:val="fr-FR"/>
        </w:rPr>
        <w:t>Ê</w:t>
      </w:r>
      <w:r w:rsidR="00011496" w:rsidRPr="00861072">
        <w:rPr>
          <w:lang w:val="fr-FR"/>
        </w:rPr>
        <w:t xml:space="preserve">TE </w:t>
      </w:r>
      <w:r w:rsidR="001973AD" w:rsidRPr="00861072">
        <w:rPr>
          <w:lang w:val="fr-FR"/>
        </w:rPr>
        <w:t>EN VERTU</w:t>
      </w:r>
      <w:r w:rsidR="00011496" w:rsidRPr="00861072">
        <w:rPr>
          <w:lang w:val="fr-FR"/>
        </w:rPr>
        <w:t xml:space="preserve"> DE L</w:t>
      </w:r>
      <w:r w:rsidR="00861072" w:rsidRPr="00861072">
        <w:rPr>
          <w:lang w:val="fr-FR"/>
        </w:rPr>
        <w:t>’</w:t>
      </w:r>
      <w:r w:rsidR="00011496" w:rsidRPr="00861072">
        <w:rPr>
          <w:lang w:val="fr-FR"/>
        </w:rPr>
        <w:t>ARTICLE 37 DE LA CONVENTION</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17</w:t>
      </w:r>
      <w:r w:rsidRPr="00861072">
        <w:rPr>
          <w:lang w:val="fr-FR"/>
        </w:rPr>
        <w:fldChar w:fldCharType="end"/>
      </w:r>
      <w:r w:rsidRPr="00861072">
        <w:rPr>
          <w:lang w:val="fr-FR"/>
        </w:rPr>
        <w:t>.  Après l</w:t>
      </w:r>
      <w:r w:rsidR="00861072" w:rsidRPr="00861072">
        <w:rPr>
          <w:lang w:val="fr-FR"/>
        </w:rPr>
        <w:t>’</w:t>
      </w:r>
      <w:r w:rsidRPr="00861072">
        <w:rPr>
          <w:lang w:val="fr-FR"/>
        </w:rPr>
        <w:t xml:space="preserve">échec des tentatives de règlement amiable, </w:t>
      </w:r>
      <w:r w:rsidR="00ED6CBC" w:rsidRPr="00861072">
        <w:rPr>
          <w:lang w:val="fr-FR"/>
        </w:rPr>
        <w:t xml:space="preserve">par une lettre du </w:t>
      </w:r>
      <w:r w:rsidR="00F41828" w:rsidRPr="00861072">
        <w:rPr>
          <w:lang w:val="fr-FR"/>
        </w:rPr>
        <w:t>29 octobre 2015</w:t>
      </w:r>
      <w:r w:rsidR="00ED6CBC" w:rsidRPr="00861072">
        <w:rPr>
          <w:lang w:val="fr-FR"/>
        </w:rPr>
        <w:t xml:space="preserve"> adressée à la Cour</w:t>
      </w:r>
      <w:r w:rsidRPr="00861072">
        <w:rPr>
          <w:lang w:val="fr-FR"/>
        </w:rPr>
        <w:t xml:space="preserve">, le Gouvernement a </w:t>
      </w:r>
      <w:r w:rsidR="001973AD" w:rsidRPr="00861072">
        <w:rPr>
          <w:lang w:val="fr-FR"/>
        </w:rPr>
        <w:t xml:space="preserve">soumis </w:t>
      </w:r>
      <w:r w:rsidRPr="00861072">
        <w:rPr>
          <w:lang w:val="fr-FR"/>
        </w:rPr>
        <w:t xml:space="preserve">une déclaration unilatérale afin de résoudre la question soulevée par la requête. Il a </w:t>
      </w:r>
      <w:r w:rsidR="00511FF6" w:rsidRPr="00861072">
        <w:rPr>
          <w:lang w:val="fr-FR"/>
        </w:rPr>
        <w:t xml:space="preserve">également </w:t>
      </w:r>
      <w:r w:rsidRPr="00861072">
        <w:rPr>
          <w:lang w:val="fr-FR"/>
        </w:rPr>
        <w:t xml:space="preserve">invité la Cour à rayer celle-ci du rôle en </w:t>
      </w:r>
      <w:r w:rsidR="0063168A" w:rsidRPr="00861072">
        <w:rPr>
          <w:lang w:val="fr-FR"/>
        </w:rPr>
        <w:t xml:space="preserve">vertu </w:t>
      </w:r>
      <w:r w:rsidRPr="00861072">
        <w:rPr>
          <w:lang w:val="fr-FR"/>
        </w:rPr>
        <w:t>de l</w:t>
      </w:r>
      <w:r w:rsidR="00861072" w:rsidRPr="00861072">
        <w:rPr>
          <w:lang w:val="fr-FR"/>
        </w:rPr>
        <w:t>’</w:t>
      </w:r>
      <w:r w:rsidRPr="00861072">
        <w:rPr>
          <w:lang w:val="fr-FR"/>
        </w:rPr>
        <w:t>article 37 de la Convention en contrepartie du versement d</w:t>
      </w:r>
      <w:r w:rsidR="00861072" w:rsidRPr="00861072">
        <w:rPr>
          <w:lang w:val="fr-FR"/>
        </w:rPr>
        <w:t>’</w:t>
      </w:r>
      <w:r w:rsidRPr="00861072">
        <w:rPr>
          <w:lang w:val="fr-FR"/>
        </w:rPr>
        <w:t xml:space="preserve">une somme globale (2 000 EUR) </w:t>
      </w:r>
      <w:r w:rsidR="005B7EE4" w:rsidRPr="00861072">
        <w:rPr>
          <w:lang w:val="fr-FR"/>
        </w:rPr>
        <w:t xml:space="preserve">destiné à </w:t>
      </w:r>
      <w:r w:rsidRPr="00861072">
        <w:rPr>
          <w:lang w:val="fr-FR"/>
        </w:rPr>
        <w:t>couvr</w:t>
      </w:r>
      <w:r w:rsidR="005B7EE4" w:rsidRPr="00861072">
        <w:rPr>
          <w:lang w:val="fr-FR"/>
        </w:rPr>
        <w:t>ir</w:t>
      </w:r>
      <w:r w:rsidRPr="00861072">
        <w:rPr>
          <w:lang w:val="fr-FR"/>
        </w:rPr>
        <w:t xml:space="preserve"> tout préjudice matériel et moral ainsi que les frais et dépens</w:t>
      </w:r>
      <w:r w:rsidR="00F02E42" w:rsidRPr="00861072">
        <w:rPr>
          <w:lang w:val="fr-FR"/>
        </w:rPr>
        <w:t>,</w:t>
      </w:r>
      <w:r w:rsidRPr="00861072">
        <w:rPr>
          <w:lang w:val="fr-FR"/>
        </w:rPr>
        <w:t xml:space="preserve"> et de la reconnaissance d</w:t>
      </w:r>
      <w:r w:rsidR="005B7EE4" w:rsidRPr="00861072">
        <w:rPr>
          <w:lang w:val="fr-FR"/>
        </w:rPr>
        <w:t>e la</w:t>
      </w:r>
      <w:r w:rsidR="00E26990" w:rsidRPr="00861072">
        <w:rPr>
          <w:lang w:val="fr-FR"/>
        </w:rPr>
        <w:t xml:space="preserve"> </w:t>
      </w:r>
      <w:r w:rsidRPr="00861072">
        <w:rPr>
          <w:lang w:val="fr-FR"/>
        </w:rPr>
        <w:t xml:space="preserve">violation du droit au respect des biens </w:t>
      </w:r>
      <w:r w:rsidR="002B1B51" w:rsidRPr="00861072">
        <w:rPr>
          <w:lang w:val="fr-FR"/>
        </w:rPr>
        <w:t>des requérants garanti</w:t>
      </w:r>
      <w:r w:rsidRPr="00861072">
        <w:rPr>
          <w:lang w:val="fr-FR"/>
        </w:rPr>
        <w:t xml:space="preserve"> </w:t>
      </w:r>
      <w:r w:rsidR="002B1B51" w:rsidRPr="00861072">
        <w:rPr>
          <w:lang w:val="fr-FR"/>
        </w:rPr>
        <w:t xml:space="preserve">par </w:t>
      </w:r>
      <w:r w:rsidRPr="00861072">
        <w:rPr>
          <w:lang w:val="fr-FR"/>
        </w:rPr>
        <w:t>l</w:t>
      </w:r>
      <w:r w:rsidR="00861072" w:rsidRPr="00861072">
        <w:rPr>
          <w:lang w:val="fr-FR"/>
        </w:rPr>
        <w:t>’</w:t>
      </w:r>
      <w:r w:rsidRPr="00861072">
        <w:rPr>
          <w:lang w:val="fr-FR"/>
        </w:rPr>
        <w:t>article 1 du Protocole n</w:t>
      </w:r>
      <w:r w:rsidRPr="00861072">
        <w:rPr>
          <w:vertAlign w:val="superscript"/>
          <w:lang w:val="fr-FR"/>
        </w:rPr>
        <w:t>o</w:t>
      </w:r>
      <w:r w:rsidRPr="00861072">
        <w:rPr>
          <w:lang w:val="fr-FR"/>
        </w:rPr>
        <w:t xml:space="preserve"> 1</w:t>
      </w:r>
      <w:r w:rsidR="005B7EE4" w:rsidRPr="00861072">
        <w:rPr>
          <w:lang w:val="fr-FR"/>
        </w:rPr>
        <w:t xml:space="preserve"> à la Convention</w:t>
      </w:r>
      <w:r w:rsidRPr="00861072">
        <w:rPr>
          <w:lang w:val="fr-FR"/>
        </w:rPr>
        <w:t>.</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18</w:t>
      </w:r>
      <w:r w:rsidRPr="00861072">
        <w:rPr>
          <w:lang w:val="fr-FR"/>
        </w:rPr>
        <w:fldChar w:fldCharType="end"/>
      </w:r>
      <w:r w:rsidRPr="00861072">
        <w:rPr>
          <w:lang w:val="fr-FR"/>
        </w:rPr>
        <w:t>.  </w:t>
      </w:r>
      <w:r w:rsidR="0064092A" w:rsidRPr="00861072">
        <w:rPr>
          <w:lang w:val="fr-FR"/>
        </w:rPr>
        <w:t>Les</w:t>
      </w:r>
      <w:r w:rsidRPr="00861072">
        <w:rPr>
          <w:lang w:val="fr-FR"/>
        </w:rPr>
        <w:t xml:space="preserve"> requérants ont déclaré qu</w:t>
      </w:r>
      <w:r w:rsidR="00861072" w:rsidRPr="00861072">
        <w:rPr>
          <w:lang w:val="fr-FR"/>
        </w:rPr>
        <w:t>’</w:t>
      </w:r>
      <w:r w:rsidRPr="00861072">
        <w:rPr>
          <w:lang w:val="fr-FR"/>
        </w:rPr>
        <w:t>ils n</w:t>
      </w:r>
      <w:r w:rsidR="00861072" w:rsidRPr="00861072">
        <w:rPr>
          <w:lang w:val="fr-FR"/>
        </w:rPr>
        <w:t>’</w:t>
      </w:r>
      <w:r w:rsidRPr="00861072">
        <w:rPr>
          <w:lang w:val="fr-FR"/>
        </w:rPr>
        <w:t>étaient pas satisfaits des termes de la déclaration unilatérale</w:t>
      </w:r>
      <w:r w:rsidR="00F02E42" w:rsidRPr="00861072">
        <w:rPr>
          <w:lang w:val="fr-FR"/>
        </w:rPr>
        <w:t xml:space="preserve"> du Gouvernement</w:t>
      </w:r>
      <w:r w:rsidRPr="00861072">
        <w:rPr>
          <w:lang w:val="fr-FR"/>
        </w:rPr>
        <w:t>.</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19</w:t>
      </w:r>
      <w:r w:rsidRPr="00861072">
        <w:rPr>
          <w:lang w:val="fr-FR"/>
        </w:rPr>
        <w:fldChar w:fldCharType="end"/>
      </w:r>
      <w:r w:rsidRPr="00861072">
        <w:rPr>
          <w:lang w:val="fr-FR"/>
        </w:rPr>
        <w:t xml:space="preserve">.  La Cour </w:t>
      </w:r>
      <w:r w:rsidR="006D3D89" w:rsidRPr="00861072">
        <w:rPr>
          <w:lang w:val="fr-FR"/>
        </w:rPr>
        <w:t>rappelle</w:t>
      </w:r>
      <w:r w:rsidRPr="00861072">
        <w:rPr>
          <w:lang w:val="fr-FR"/>
        </w:rPr>
        <w:t xml:space="preserve"> que, dans certaines circonstances, il peut être indiqué de rayer une requête du rôle en vertu de l</w:t>
      </w:r>
      <w:r w:rsidR="00861072" w:rsidRPr="00861072">
        <w:rPr>
          <w:lang w:val="fr-FR"/>
        </w:rPr>
        <w:t>’</w:t>
      </w:r>
      <w:r w:rsidRPr="00861072">
        <w:rPr>
          <w:lang w:val="fr-FR"/>
        </w:rPr>
        <w:t>article 37 § 1 c) de la Convention sur la base d</w:t>
      </w:r>
      <w:r w:rsidR="00861072" w:rsidRPr="00861072">
        <w:rPr>
          <w:lang w:val="fr-FR"/>
        </w:rPr>
        <w:t>’</w:t>
      </w:r>
      <w:r w:rsidRPr="00861072">
        <w:rPr>
          <w:lang w:val="fr-FR"/>
        </w:rPr>
        <w:t>une déclaration unilatérale du gouvernement défendeur même si le requérant souhaite que l</w:t>
      </w:r>
      <w:r w:rsidR="00861072" w:rsidRPr="00861072">
        <w:rPr>
          <w:lang w:val="fr-FR"/>
        </w:rPr>
        <w:t>’</w:t>
      </w:r>
      <w:r w:rsidRPr="00861072">
        <w:rPr>
          <w:lang w:val="fr-FR"/>
        </w:rPr>
        <w:t>examen de l</w:t>
      </w:r>
      <w:r w:rsidR="00861072" w:rsidRPr="00861072">
        <w:rPr>
          <w:lang w:val="fr-FR"/>
        </w:rPr>
        <w:t>’</w:t>
      </w:r>
      <w:r w:rsidRPr="00861072">
        <w:rPr>
          <w:lang w:val="fr-FR"/>
        </w:rPr>
        <w:t>affaire se poursuive. Ce seront toutefois les circonstances particulières de la cause qui permettront de déterminer si la déclaration unilatérale offre une base suffisante pour que la Cour conclue que le respect des droits de l</w:t>
      </w:r>
      <w:r w:rsidR="00861072" w:rsidRPr="00861072">
        <w:rPr>
          <w:lang w:val="fr-FR"/>
        </w:rPr>
        <w:t>’</w:t>
      </w:r>
      <w:r w:rsidRPr="00861072">
        <w:rPr>
          <w:lang w:val="fr-FR"/>
        </w:rPr>
        <w:t>homme garantis par la Convention n</w:t>
      </w:r>
      <w:r w:rsidR="00861072" w:rsidRPr="00861072">
        <w:rPr>
          <w:lang w:val="fr-FR"/>
        </w:rPr>
        <w:t>’</w:t>
      </w:r>
      <w:r w:rsidRPr="00861072">
        <w:rPr>
          <w:lang w:val="fr-FR"/>
        </w:rPr>
        <w:t>exige pas qu</w:t>
      </w:r>
      <w:r w:rsidR="00861072" w:rsidRPr="00861072">
        <w:rPr>
          <w:lang w:val="fr-FR"/>
        </w:rPr>
        <w:t>’</w:t>
      </w:r>
      <w:r w:rsidRPr="00861072">
        <w:rPr>
          <w:lang w:val="fr-FR"/>
        </w:rPr>
        <w:t>elle poursuive l</w:t>
      </w:r>
      <w:r w:rsidR="00861072" w:rsidRPr="00861072">
        <w:rPr>
          <w:lang w:val="fr-FR"/>
        </w:rPr>
        <w:t>’</w:t>
      </w:r>
      <w:r w:rsidRPr="00861072">
        <w:rPr>
          <w:lang w:val="fr-FR"/>
        </w:rPr>
        <w:t>examen de l</w:t>
      </w:r>
      <w:r w:rsidR="00861072" w:rsidRPr="00861072">
        <w:rPr>
          <w:lang w:val="fr-FR"/>
        </w:rPr>
        <w:t>’</w:t>
      </w:r>
      <w:r w:rsidRPr="00861072">
        <w:rPr>
          <w:lang w:val="fr-FR"/>
        </w:rPr>
        <w:t xml:space="preserve">affaire </w:t>
      </w:r>
      <w:r w:rsidR="002437B6" w:rsidRPr="00861072">
        <w:rPr>
          <w:lang w:val="fr-FR"/>
        </w:rPr>
        <w:t>(</w:t>
      </w:r>
      <w:r w:rsidRPr="00861072">
        <w:rPr>
          <w:lang w:val="fr-FR"/>
        </w:rPr>
        <w:t xml:space="preserve">article 37 § 1 </w:t>
      </w:r>
      <w:r w:rsidRPr="00861072">
        <w:rPr>
          <w:i/>
          <w:lang w:val="fr-FR"/>
        </w:rPr>
        <w:t>in fine</w:t>
      </w:r>
      <w:r w:rsidR="002437B6" w:rsidRPr="00861072">
        <w:rPr>
          <w:lang w:val="fr-FR"/>
        </w:rPr>
        <w:t>)</w:t>
      </w:r>
      <w:r w:rsidRPr="00861072">
        <w:rPr>
          <w:lang w:val="fr-FR"/>
        </w:rPr>
        <w:t xml:space="preserve"> (voir, </w:t>
      </w:r>
      <w:r w:rsidR="00CD45A2" w:rsidRPr="00861072">
        <w:rPr>
          <w:lang w:val="fr-FR"/>
        </w:rPr>
        <w:t xml:space="preserve">entre </w:t>
      </w:r>
      <w:r w:rsidRPr="00861072">
        <w:rPr>
          <w:lang w:val="fr-FR"/>
        </w:rPr>
        <w:t xml:space="preserve">autres, </w:t>
      </w:r>
      <w:proofErr w:type="spellStart"/>
      <w:r w:rsidRPr="00861072">
        <w:rPr>
          <w:i/>
          <w:lang w:val="fr-FR"/>
        </w:rPr>
        <w:t>Tahsin</w:t>
      </w:r>
      <w:proofErr w:type="spellEnd"/>
      <w:r w:rsidRPr="00861072">
        <w:rPr>
          <w:i/>
          <w:lang w:val="fr-FR"/>
        </w:rPr>
        <w:t xml:space="preserve"> </w:t>
      </w:r>
      <w:proofErr w:type="spellStart"/>
      <w:r w:rsidRPr="00861072">
        <w:rPr>
          <w:i/>
          <w:lang w:val="fr-FR"/>
        </w:rPr>
        <w:t>Acar</w:t>
      </w:r>
      <w:proofErr w:type="spellEnd"/>
      <w:r w:rsidRPr="00861072">
        <w:rPr>
          <w:i/>
          <w:lang w:val="fr-FR"/>
        </w:rPr>
        <w:t xml:space="preserve"> c. Turquie</w:t>
      </w:r>
      <w:r w:rsidRPr="00861072">
        <w:rPr>
          <w:iCs/>
          <w:lang w:val="fr-FR"/>
        </w:rPr>
        <w:t xml:space="preserve"> (exceptions préliminaires) </w:t>
      </w:r>
      <w:r w:rsidRPr="00861072">
        <w:rPr>
          <w:lang w:val="fr-FR"/>
        </w:rPr>
        <w:t>[GC],</w:t>
      </w:r>
      <w:r w:rsidRPr="00861072">
        <w:rPr>
          <w:i/>
          <w:lang w:val="fr-FR"/>
        </w:rPr>
        <w:t xml:space="preserve"> </w:t>
      </w:r>
      <w:r w:rsidRPr="00861072">
        <w:rPr>
          <w:lang w:val="fr-FR"/>
        </w:rPr>
        <w:t>n</w:t>
      </w:r>
      <w:r w:rsidRPr="00861072">
        <w:rPr>
          <w:vertAlign w:val="superscript"/>
          <w:lang w:val="fr-FR"/>
        </w:rPr>
        <w:t xml:space="preserve">o </w:t>
      </w:r>
      <w:r w:rsidRPr="00861072">
        <w:rPr>
          <w:lang w:val="fr-FR"/>
        </w:rPr>
        <w:t>26307/95, § 75, CEDH 2003</w:t>
      </w:r>
      <w:r w:rsidRPr="00861072">
        <w:rPr>
          <w:lang w:val="fr-FR"/>
        </w:rPr>
        <w:noBreakHyphen/>
        <w:t>VI</w:t>
      </w:r>
      <w:r w:rsidR="00DE1B1E" w:rsidRPr="00861072">
        <w:rPr>
          <w:lang w:val="fr-FR"/>
        </w:rPr>
        <w:t>, et</w:t>
      </w:r>
      <w:r w:rsidRPr="00861072">
        <w:rPr>
          <w:lang w:val="fr-FR"/>
        </w:rPr>
        <w:t xml:space="preserve"> </w:t>
      </w:r>
      <w:proofErr w:type="spellStart"/>
      <w:r w:rsidRPr="00861072">
        <w:rPr>
          <w:i/>
          <w:lang w:val="fr-FR"/>
        </w:rPr>
        <w:t>Melnic</w:t>
      </w:r>
      <w:proofErr w:type="spellEnd"/>
      <w:r w:rsidRPr="00861072">
        <w:rPr>
          <w:i/>
          <w:lang w:val="fr-FR"/>
        </w:rPr>
        <w:t xml:space="preserve"> c. Moldova</w:t>
      </w:r>
      <w:r w:rsidRPr="00861072">
        <w:rPr>
          <w:lang w:val="fr-FR"/>
        </w:rPr>
        <w:t>, n</w:t>
      </w:r>
      <w:r w:rsidRPr="00861072">
        <w:rPr>
          <w:vertAlign w:val="superscript"/>
          <w:lang w:val="fr-FR"/>
        </w:rPr>
        <w:t>o</w:t>
      </w:r>
      <w:r w:rsidRPr="00861072">
        <w:rPr>
          <w:lang w:val="fr-FR"/>
        </w:rPr>
        <w:t xml:space="preserve"> 6923/03, § 14, 14 novembre 2006).</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20</w:t>
      </w:r>
      <w:r w:rsidRPr="00861072">
        <w:rPr>
          <w:lang w:val="fr-FR"/>
        </w:rPr>
        <w:fldChar w:fldCharType="end"/>
      </w:r>
      <w:r w:rsidRPr="00861072">
        <w:rPr>
          <w:lang w:val="fr-FR"/>
        </w:rPr>
        <w:t>.  Parmi les facteurs à prendre en compte à cet égard figure</w:t>
      </w:r>
      <w:r w:rsidR="00677B2C" w:rsidRPr="00861072">
        <w:rPr>
          <w:lang w:val="fr-FR"/>
        </w:rPr>
        <w:t>nt</w:t>
      </w:r>
      <w:r w:rsidRPr="00861072">
        <w:rPr>
          <w:lang w:val="fr-FR"/>
        </w:rPr>
        <w:t xml:space="preserve">, entre autres, </w:t>
      </w:r>
      <w:r w:rsidR="00DE1B1E" w:rsidRPr="00861072">
        <w:rPr>
          <w:lang w:val="fr-FR"/>
        </w:rPr>
        <w:t>les concessions éventuellement formulées</w:t>
      </w:r>
      <w:r w:rsidRPr="00861072">
        <w:rPr>
          <w:lang w:val="fr-FR"/>
        </w:rPr>
        <w:t xml:space="preserve"> </w:t>
      </w:r>
      <w:r w:rsidR="00142B9D" w:rsidRPr="00861072">
        <w:rPr>
          <w:lang w:val="fr-FR"/>
        </w:rPr>
        <w:t xml:space="preserve">par le gouvernement défendeur </w:t>
      </w:r>
      <w:r w:rsidRPr="00861072">
        <w:rPr>
          <w:lang w:val="fr-FR"/>
        </w:rPr>
        <w:t>dans sa déclaration unilatérale en ce qui concerne les allégations de violation de la Convention</w:t>
      </w:r>
      <w:r w:rsidR="00677B2C" w:rsidRPr="00861072">
        <w:rPr>
          <w:lang w:val="fr-FR"/>
        </w:rPr>
        <w:t>. D</w:t>
      </w:r>
      <w:r w:rsidRPr="00861072">
        <w:rPr>
          <w:lang w:val="fr-FR"/>
        </w:rPr>
        <w:t xml:space="preserve">ans cette hypothèse, </w:t>
      </w:r>
      <w:r w:rsidR="006C578D" w:rsidRPr="00861072">
        <w:rPr>
          <w:lang w:val="fr-FR"/>
        </w:rPr>
        <w:t xml:space="preserve">il faut alors déterminer </w:t>
      </w:r>
      <w:r w:rsidR="00701B3D" w:rsidRPr="00861072">
        <w:rPr>
          <w:lang w:val="fr-FR"/>
        </w:rPr>
        <w:t>quelle est</w:t>
      </w:r>
      <w:r w:rsidR="00D4169B" w:rsidRPr="00861072">
        <w:rPr>
          <w:lang w:val="fr-FR"/>
        </w:rPr>
        <w:t xml:space="preserve"> </w:t>
      </w:r>
      <w:r w:rsidRPr="00861072">
        <w:rPr>
          <w:lang w:val="fr-FR"/>
        </w:rPr>
        <w:t>l</w:t>
      </w:r>
      <w:r w:rsidR="00861072" w:rsidRPr="00861072">
        <w:rPr>
          <w:lang w:val="fr-FR"/>
        </w:rPr>
        <w:t>’</w:t>
      </w:r>
      <w:r w:rsidRPr="00861072">
        <w:rPr>
          <w:lang w:val="fr-FR"/>
        </w:rPr>
        <w:t xml:space="preserve">ampleur de ces concessions et </w:t>
      </w:r>
      <w:r w:rsidR="00701B3D" w:rsidRPr="00861072">
        <w:rPr>
          <w:lang w:val="fr-FR"/>
        </w:rPr>
        <w:t>quelles sont l</w:t>
      </w:r>
      <w:r w:rsidRPr="00861072">
        <w:rPr>
          <w:lang w:val="fr-FR"/>
        </w:rPr>
        <w:t>es modalités du redressement qu</w:t>
      </w:r>
      <w:r w:rsidR="00C00FC8" w:rsidRPr="00861072">
        <w:rPr>
          <w:lang w:val="fr-FR"/>
        </w:rPr>
        <w:t>e le Gouvernement</w:t>
      </w:r>
      <w:r w:rsidRPr="00861072">
        <w:rPr>
          <w:lang w:val="fr-FR"/>
        </w:rPr>
        <w:t xml:space="preserve"> entend fournir au requérant. Quant à ce dernier point, dans les cas où il est possible d</w:t>
      </w:r>
      <w:r w:rsidR="00861072" w:rsidRPr="00861072">
        <w:rPr>
          <w:lang w:val="fr-FR"/>
        </w:rPr>
        <w:t>’</w:t>
      </w:r>
      <w:r w:rsidRPr="00861072">
        <w:rPr>
          <w:lang w:val="fr-FR"/>
        </w:rPr>
        <w:t>effacer les conséquences d</w:t>
      </w:r>
      <w:r w:rsidR="00861072" w:rsidRPr="00861072">
        <w:rPr>
          <w:lang w:val="fr-FR"/>
        </w:rPr>
        <w:t>’</w:t>
      </w:r>
      <w:r w:rsidRPr="00861072">
        <w:rPr>
          <w:lang w:val="fr-FR"/>
        </w:rPr>
        <w:t xml:space="preserve">une violation alléguée (par exemple dans certaines affaires de propriété) et où le </w:t>
      </w:r>
      <w:r w:rsidR="00DE1B1E" w:rsidRPr="00861072">
        <w:rPr>
          <w:lang w:val="fr-FR"/>
        </w:rPr>
        <w:t>g</w:t>
      </w:r>
      <w:r w:rsidRPr="00861072">
        <w:rPr>
          <w:lang w:val="fr-FR"/>
        </w:rPr>
        <w:t>ouvernement défendeur se déclare disposé à le faire, le redressement envisagé a davantage de chances d</w:t>
      </w:r>
      <w:r w:rsidR="00861072" w:rsidRPr="00861072">
        <w:rPr>
          <w:lang w:val="fr-FR"/>
        </w:rPr>
        <w:t>’</w:t>
      </w:r>
      <w:r w:rsidRPr="00861072">
        <w:rPr>
          <w:lang w:val="fr-FR"/>
        </w:rPr>
        <w:t>être tenu pour adéquat aux fins d</w:t>
      </w:r>
      <w:r w:rsidR="00861072" w:rsidRPr="00861072">
        <w:rPr>
          <w:lang w:val="fr-FR"/>
        </w:rPr>
        <w:t>’</w:t>
      </w:r>
      <w:r w:rsidRPr="00861072">
        <w:rPr>
          <w:lang w:val="fr-FR"/>
        </w:rPr>
        <w:t>une radiation de la requête (</w:t>
      </w:r>
      <w:proofErr w:type="spellStart"/>
      <w:r w:rsidRPr="00861072">
        <w:rPr>
          <w:i/>
          <w:lang w:val="fr-FR"/>
        </w:rPr>
        <w:t>Tahsin</w:t>
      </w:r>
      <w:proofErr w:type="spellEnd"/>
      <w:r w:rsidRPr="00861072">
        <w:rPr>
          <w:i/>
          <w:lang w:val="fr-FR"/>
        </w:rPr>
        <w:t xml:space="preserve"> </w:t>
      </w:r>
      <w:proofErr w:type="spellStart"/>
      <w:r w:rsidRPr="00861072">
        <w:rPr>
          <w:i/>
          <w:lang w:val="fr-FR"/>
        </w:rPr>
        <w:t>Acar</w:t>
      </w:r>
      <w:proofErr w:type="spellEnd"/>
      <w:r w:rsidRPr="00861072">
        <w:rPr>
          <w:lang w:val="fr-FR"/>
        </w:rPr>
        <w:t>, précité, § 76).</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21</w:t>
      </w:r>
      <w:r w:rsidRPr="00861072">
        <w:rPr>
          <w:lang w:val="fr-FR"/>
        </w:rPr>
        <w:fldChar w:fldCharType="end"/>
      </w:r>
      <w:r w:rsidRPr="00861072">
        <w:rPr>
          <w:lang w:val="fr-FR"/>
        </w:rPr>
        <w:t>.  </w:t>
      </w:r>
      <w:proofErr w:type="gramStart"/>
      <w:r w:rsidR="00D024BB" w:rsidRPr="00861072">
        <w:rPr>
          <w:lang w:val="fr-FR"/>
        </w:rPr>
        <w:t>En l</w:t>
      </w:r>
      <w:r w:rsidR="00861072" w:rsidRPr="00861072">
        <w:rPr>
          <w:lang w:val="fr-FR"/>
        </w:rPr>
        <w:t>’</w:t>
      </w:r>
      <w:r w:rsidR="00D024BB" w:rsidRPr="00861072">
        <w:rPr>
          <w:lang w:val="fr-FR"/>
        </w:rPr>
        <w:t>espèce, s</w:t>
      </w:r>
      <w:r w:rsidR="002F1032" w:rsidRPr="00861072">
        <w:rPr>
          <w:lang w:val="fr-FR"/>
        </w:rPr>
        <w:t>ur la question</w:t>
      </w:r>
      <w:r w:rsidRPr="00861072">
        <w:rPr>
          <w:lang w:val="fr-FR"/>
        </w:rPr>
        <w:t xml:space="preserve"> de savoir s</w:t>
      </w:r>
      <w:r w:rsidR="00861072" w:rsidRPr="00861072">
        <w:rPr>
          <w:lang w:val="fr-FR"/>
        </w:rPr>
        <w:t>’</w:t>
      </w:r>
      <w:r w:rsidRPr="00861072">
        <w:rPr>
          <w:lang w:val="fr-FR"/>
        </w:rPr>
        <w:t xml:space="preserve">il </w:t>
      </w:r>
      <w:r w:rsidR="006D5FD1" w:rsidRPr="00861072">
        <w:rPr>
          <w:lang w:val="fr-FR"/>
        </w:rPr>
        <w:t xml:space="preserve">est </w:t>
      </w:r>
      <w:r w:rsidRPr="00861072">
        <w:rPr>
          <w:lang w:val="fr-FR"/>
        </w:rPr>
        <w:t>opportun de rayer la présente requête sur la base de la déclaration unilatérale du Gouvernement, la Cour relève</w:t>
      </w:r>
      <w:r w:rsidR="002F1032" w:rsidRPr="00861072">
        <w:rPr>
          <w:lang w:val="fr-FR"/>
        </w:rPr>
        <w:t xml:space="preserve"> </w:t>
      </w:r>
      <w:r w:rsidRPr="00861072">
        <w:rPr>
          <w:lang w:val="fr-FR"/>
        </w:rPr>
        <w:t xml:space="preserve">que le montant du dédommagement offert est insuffisant </w:t>
      </w:r>
      <w:r w:rsidR="00142B9D" w:rsidRPr="00861072">
        <w:rPr>
          <w:lang w:val="fr-FR"/>
        </w:rPr>
        <w:t>au regard des</w:t>
      </w:r>
      <w:r w:rsidRPr="00861072">
        <w:rPr>
          <w:lang w:val="fr-FR"/>
        </w:rPr>
        <w:t xml:space="preserve"> sommes octroyées par elle dans des affaires similaires en matière d</w:t>
      </w:r>
      <w:r w:rsidR="00861072" w:rsidRPr="00861072">
        <w:rPr>
          <w:lang w:val="fr-FR"/>
        </w:rPr>
        <w:t>’</w:t>
      </w:r>
      <w:r w:rsidRPr="00861072">
        <w:rPr>
          <w:lang w:val="fr-FR"/>
        </w:rPr>
        <w:t>expropriation indirecte (</w:t>
      </w:r>
      <w:proofErr w:type="spellStart"/>
      <w:r w:rsidRPr="00861072">
        <w:rPr>
          <w:i/>
          <w:lang w:val="fr-FR"/>
        </w:rPr>
        <w:t>Guiso-Gallisay</w:t>
      </w:r>
      <w:proofErr w:type="spellEnd"/>
      <w:r w:rsidRPr="00861072">
        <w:rPr>
          <w:i/>
          <w:lang w:val="fr-FR"/>
        </w:rPr>
        <w:t xml:space="preserve"> c. Italie </w:t>
      </w:r>
      <w:r w:rsidRPr="00861072">
        <w:rPr>
          <w:lang w:val="fr-FR"/>
        </w:rPr>
        <w:t>(satisfaction équitable) [GC], n</w:t>
      </w:r>
      <w:r w:rsidRPr="00861072">
        <w:rPr>
          <w:vertAlign w:val="superscript"/>
          <w:lang w:val="fr-FR"/>
        </w:rPr>
        <w:t>o</w:t>
      </w:r>
      <w:r w:rsidRPr="00861072">
        <w:rPr>
          <w:lang w:val="fr-FR"/>
        </w:rPr>
        <w:t xml:space="preserve"> 58858/00, 22 décembre 2009</w:t>
      </w:r>
      <w:r w:rsidR="00111452" w:rsidRPr="00861072">
        <w:rPr>
          <w:lang w:val="fr-FR"/>
        </w:rPr>
        <w:t>,</w:t>
      </w:r>
      <w:r w:rsidRPr="00861072">
        <w:rPr>
          <w:lang w:val="fr-FR"/>
        </w:rPr>
        <w:t xml:space="preserve"> </w:t>
      </w:r>
      <w:r w:rsidRPr="00861072">
        <w:rPr>
          <w:i/>
          <w:lang w:val="fr-FR"/>
        </w:rPr>
        <w:t xml:space="preserve">Rivera et di </w:t>
      </w:r>
      <w:proofErr w:type="spellStart"/>
      <w:r w:rsidRPr="00861072">
        <w:rPr>
          <w:i/>
          <w:lang w:val="fr-FR"/>
        </w:rPr>
        <w:t>Bonaventura</w:t>
      </w:r>
      <w:proofErr w:type="spellEnd"/>
      <w:r w:rsidRPr="00861072">
        <w:rPr>
          <w:i/>
          <w:lang w:val="fr-FR"/>
        </w:rPr>
        <w:t xml:space="preserve"> c. Italie</w:t>
      </w:r>
      <w:r w:rsidRPr="00861072">
        <w:rPr>
          <w:lang w:val="fr-FR"/>
        </w:rPr>
        <w:t xml:space="preserve">, </w:t>
      </w:r>
      <w:r w:rsidRPr="00861072">
        <w:rPr>
          <w:lang w:val="fr-FR"/>
        </w:rPr>
        <w:lastRenderedPageBreak/>
        <w:t>n</w:t>
      </w:r>
      <w:r w:rsidRPr="00861072">
        <w:rPr>
          <w:vertAlign w:val="superscript"/>
          <w:lang w:val="fr-FR"/>
        </w:rPr>
        <w:t>o</w:t>
      </w:r>
      <w:r w:rsidR="00111452" w:rsidRPr="00861072">
        <w:rPr>
          <w:lang w:val="fr-FR"/>
        </w:rPr>
        <w:t> </w:t>
      </w:r>
      <w:r w:rsidRPr="00861072">
        <w:rPr>
          <w:lang w:val="fr-FR"/>
        </w:rPr>
        <w:t>63869/00, 14 juin 2011</w:t>
      </w:r>
      <w:r w:rsidR="00111452" w:rsidRPr="00861072">
        <w:rPr>
          <w:lang w:val="fr-FR"/>
        </w:rPr>
        <w:t>,</w:t>
      </w:r>
      <w:r w:rsidRPr="00861072">
        <w:rPr>
          <w:lang w:val="fr-FR"/>
        </w:rPr>
        <w:t xml:space="preserve"> </w:t>
      </w:r>
      <w:r w:rsidRPr="00861072">
        <w:rPr>
          <w:i/>
          <w:lang w:val="fr-FR"/>
        </w:rPr>
        <w:t>De Caterina et autres c. Italie</w:t>
      </w:r>
      <w:r w:rsidRPr="00861072">
        <w:rPr>
          <w:lang w:val="fr-FR"/>
        </w:rPr>
        <w:t>, n</w:t>
      </w:r>
      <w:r w:rsidRPr="00861072">
        <w:rPr>
          <w:vertAlign w:val="superscript"/>
          <w:lang w:val="fr-FR"/>
        </w:rPr>
        <w:t>o</w:t>
      </w:r>
      <w:r w:rsidRPr="00861072">
        <w:rPr>
          <w:lang w:val="fr-FR"/>
        </w:rPr>
        <w:t> 65278/01, 28 juin 2011</w:t>
      </w:r>
      <w:r w:rsidR="00111452" w:rsidRPr="00861072">
        <w:rPr>
          <w:lang w:val="fr-FR"/>
        </w:rPr>
        <w:t>, et</w:t>
      </w:r>
      <w:r w:rsidRPr="00861072">
        <w:rPr>
          <w:lang w:val="fr-FR"/>
        </w:rPr>
        <w:t xml:space="preserve"> </w:t>
      </w:r>
      <w:proofErr w:type="spellStart"/>
      <w:r w:rsidRPr="00861072">
        <w:rPr>
          <w:i/>
          <w:lang w:val="fr-FR"/>
        </w:rPr>
        <w:t>Macrì</w:t>
      </w:r>
      <w:proofErr w:type="spellEnd"/>
      <w:r w:rsidRPr="00861072">
        <w:rPr>
          <w:i/>
          <w:lang w:val="fr-FR"/>
        </w:rPr>
        <w:t xml:space="preserve"> et autres c. Italie</w:t>
      </w:r>
      <w:r w:rsidRPr="00861072">
        <w:rPr>
          <w:lang w:val="fr-FR"/>
        </w:rPr>
        <w:t>, n</w:t>
      </w:r>
      <w:r w:rsidRPr="00861072">
        <w:rPr>
          <w:vertAlign w:val="superscript"/>
          <w:lang w:val="fr-FR"/>
        </w:rPr>
        <w:t>o</w:t>
      </w:r>
      <w:r w:rsidRPr="00861072">
        <w:rPr>
          <w:lang w:val="fr-FR"/>
        </w:rPr>
        <w:t xml:space="preserve"> 14130/02, 12 juillet 2011).</w:t>
      </w:r>
      <w:proofErr w:type="gramEnd"/>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22</w:t>
      </w:r>
      <w:r w:rsidRPr="00861072">
        <w:rPr>
          <w:lang w:val="fr-FR"/>
        </w:rPr>
        <w:fldChar w:fldCharType="end"/>
      </w:r>
      <w:r w:rsidRPr="00861072">
        <w:rPr>
          <w:lang w:val="fr-FR"/>
        </w:rPr>
        <w:t xml:space="preserve">.  Dans ces conditions, </w:t>
      </w:r>
      <w:r w:rsidR="00024C41" w:rsidRPr="00861072">
        <w:rPr>
          <w:lang w:val="fr-FR"/>
        </w:rPr>
        <w:t>elle</w:t>
      </w:r>
      <w:r w:rsidRPr="00861072">
        <w:rPr>
          <w:lang w:val="fr-FR"/>
        </w:rPr>
        <w:t xml:space="preserve"> considère que la </w:t>
      </w:r>
      <w:r w:rsidR="00111452" w:rsidRPr="00861072">
        <w:rPr>
          <w:lang w:val="fr-FR"/>
        </w:rPr>
        <w:t xml:space="preserve">présente </w:t>
      </w:r>
      <w:r w:rsidRPr="00861072">
        <w:rPr>
          <w:lang w:val="fr-FR"/>
        </w:rPr>
        <w:t xml:space="preserve">déclaration unilatérale ne constitue pas une base suffisante pour </w:t>
      </w:r>
      <w:r w:rsidR="00645A3F" w:rsidRPr="00861072">
        <w:rPr>
          <w:lang w:val="fr-FR"/>
        </w:rPr>
        <w:t xml:space="preserve">permettre de </w:t>
      </w:r>
      <w:r w:rsidRPr="00861072">
        <w:rPr>
          <w:lang w:val="fr-FR"/>
        </w:rPr>
        <w:t>conclure que le respect des droits de l</w:t>
      </w:r>
      <w:r w:rsidR="00861072" w:rsidRPr="00861072">
        <w:rPr>
          <w:lang w:val="fr-FR"/>
        </w:rPr>
        <w:t>’</w:t>
      </w:r>
      <w:r w:rsidRPr="00861072">
        <w:rPr>
          <w:lang w:val="fr-FR"/>
        </w:rPr>
        <w:t>homme garantis par la Convention n</w:t>
      </w:r>
      <w:r w:rsidR="00861072" w:rsidRPr="00861072">
        <w:rPr>
          <w:lang w:val="fr-FR"/>
        </w:rPr>
        <w:t>’</w:t>
      </w:r>
      <w:r w:rsidRPr="00861072">
        <w:rPr>
          <w:lang w:val="fr-FR"/>
        </w:rPr>
        <w:t>exige pas la poursuite de l</w:t>
      </w:r>
      <w:r w:rsidR="00861072" w:rsidRPr="00861072">
        <w:rPr>
          <w:lang w:val="fr-FR"/>
        </w:rPr>
        <w:t>’</w:t>
      </w:r>
      <w:r w:rsidRPr="00861072">
        <w:rPr>
          <w:lang w:val="fr-FR"/>
        </w:rPr>
        <w:t>examen de la requête (</w:t>
      </w:r>
      <w:proofErr w:type="spellStart"/>
      <w:r w:rsidRPr="00861072">
        <w:rPr>
          <w:i/>
          <w:lang w:val="fr-FR"/>
        </w:rPr>
        <w:t>Messana</w:t>
      </w:r>
      <w:proofErr w:type="spellEnd"/>
      <w:r w:rsidR="00055CFC" w:rsidRPr="00861072">
        <w:rPr>
          <w:lang w:val="fr-FR"/>
        </w:rPr>
        <w:t>,</w:t>
      </w:r>
      <w:r w:rsidRPr="00861072">
        <w:rPr>
          <w:i/>
          <w:lang w:val="fr-FR"/>
        </w:rPr>
        <w:t xml:space="preserve"> </w:t>
      </w:r>
      <w:r w:rsidR="00055CFC" w:rsidRPr="00861072">
        <w:rPr>
          <w:lang w:val="fr-FR"/>
        </w:rPr>
        <w:t>précité</w:t>
      </w:r>
      <w:r w:rsidRPr="00861072">
        <w:rPr>
          <w:lang w:val="fr-FR"/>
        </w:rPr>
        <w:t>, § 26).</w:t>
      </w:r>
    </w:p>
    <w:p w:rsidR="00011496" w:rsidRPr="00861072" w:rsidRDefault="00011496"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23</w:t>
      </w:r>
      <w:r w:rsidRPr="00861072">
        <w:rPr>
          <w:lang w:val="fr-FR"/>
        </w:rPr>
        <w:fldChar w:fldCharType="end"/>
      </w:r>
      <w:r w:rsidRPr="00861072">
        <w:rPr>
          <w:lang w:val="fr-FR"/>
        </w:rPr>
        <w:t>.  </w:t>
      </w:r>
      <w:r w:rsidR="00645A3F" w:rsidRPr="00861072">
        <w:rPr>
          <w:lang w:val="fr-FR"/>
        </w:rPr>
        <w:t>Partant</w:t>
      </w:r>
      <w:r w:rsidRPr="00861072">
        <w:rPr>
          <w:lang w:val="fr-FR"/>
        </w:rPr>
        <w:t xml:space="preserve">, la Cour rejette la demande </w:t>
      </w:r>
      <w:r w:rsidR="00C855FC" w:rsidRPr="00861072">
        <w:rPr>
          <w:lang w:val="fr-FR"/>
        </w:rPr>
        <w:t xml:space="preserve">de </w:t>
      </w:r>
      <w:r w:rsidRPr="00861072">
        <w:rPr>
          <w:lang w:val="fr-FR"/>
        </w:rPr>
        <w:t xml:space="preserve">radiation de la requête du rôle </w:t>
      </w:r>
      <w:r w:rsidR="00C855FC" w:rsidRPr="00861072">
        <w:rPr>
          <w:lang w:val="fr-FR"/>
        </w:rPr>
        <w:t xml:space="preserve">formulée par le </w:t>
      </w:r>
      <w:r w:rsidR="003C4F60" w:rsidRPr="00861072">
        <w:rPr>
          <w:lang w:val="fr-FR"/>
        </w:rPr>
        <w:t>Gouvernement</w:t>
      </w:r>
      <w:r w:rsidR="00C855FC" w:rsidRPr="00861072">
        <w:rPr>
          <w:lang w:val="fr-FR"/>
        </w:rPr>
        <w:t xml:space="preserve"> </w:t>
      </w:r>
      <w:r w:rsidRPr="00861072">
        <w:rPr>
          <w:lang w:val="fr-FR"/>
        </w:rPr>
        <w:t>en vertu de l</w:t>
      </w:r>
      <w:r w:rsidR="00861072" w:rsidRPr="00861072">
        <w:rPr>
          <w:lang w:val="fr-FR"/>
        </w:rPr>
        <w:t>’</w:t>
      </w:r>
      <w:r w:rsidRPr="00861072">
        <w:rPr>
          <w:lang w:val="fr-FR"/>
        </w:rPr>
        <w:t>article 37 § 1 c) de la Convention</w:t>
      </w:r>
      <w:r w:rsidR="00645A3F" w:rsidRPr="00861072">
        <w:rPr>
          <w:lang w:val="fr-FR"/>
        </w:rPr>
        <w:t>,</w:t>
      </w:r>
      <w:r w:rsidRPr="00861072">
        <w:rPr>
          <w:lang w:val="fr-FR"/>
        </w:rPr>
        <w:t xml:space="preserve"> et </w:t>
      </w:r>
      <w:r w:rsidR="00645A3F" w:rsidRPr="00861072">
        <w:rPr>
          <w:lang w:val="fr-FR"/>
        </w:rPr>
        <w:t xml:space="preserve">elle </w:t>
      </w:r>
      <w:r w:rsidR="00342AEB" w:rsidRPr="00861072">
        <w:rPr>
          <w:lang w:val="fr-FR"/>
        </w:rPr>
        <w:t>décide de</w:t>
      </w:r>
      <w:r w:rsidRPr="00861072">
        <w:rPr>
          <w:lang w:val="fr-FR"/>
        </w:rPr>
        <w:t xml:space="preserve"> poursuivre l</w:t>
      </w:r>
      <w:r w:rsidR="00861072" w:rsidRPr="00861072">
        <w:rPr>
          <w:lang w:val="fr-FR"/>
        </w:rPr>
        <w:t>’</w:t>
      </w:r>
      <w:r w:rsidRPr="00861072">
        <w:rPr>
          <w:lang w:val="fr-FR"/>
        </w:rPr>
        <w:t xml:space="preserve">examen de </w:t>
      </w:r>
      <w:r w:rsidR="00342AEB" w:rsidRPr="00861072">
        <w:rPr>
          <w:lang w:val="fr-FR"/>
        </w:rPr>
        <w:t xml:space="preserve">la requête </w:t>
      </w:r>
      <w:r w:rsidRPr="00861072">
        <w:rPr>
          <w:lang w:val="fr-FR"/>
        </w:rPr>
        <w:t xml:space="preserve">sur la recevabilité et </w:t>
      </w:r>
      <w:r w:rsidR="00342AEB" w:rsidRPr="00861072">
        <w:rPr>
          <w:lang w:val="fr-FR"/>
        </w:rPr>
        <w:t xml:space="preserve">sur </w:t>
      </w:r>
      <w:r w:rsidRPr="00861072">
        <w:rPr>
          <w:lang w:val="fr-FR"/>
        </w:rPr>
        <w:t>le fond.</w:t>
      </w:r>
    </w:p>
    <w:p w:rsidR="008A1DE3" w:rsidRPr="00861072" w:rsidRDefault="00011496" w:rsidP="00861072">
      <w:pPr>
        <w:pStyle w:val="ECHRHeading1"/>
        <w:rPr>
          <w:lang w:val="fr-FR"/>
        </w:rPr>
      </w:pPr>
      <w:r w:rsidRPr="00861072">
        <w:rPr>
          <w:lang w:val="fr-FR"/>
        </w:rPr>
        <w:t>II.</w:t>
      </w:r>
      <w:proofErr w:type="gramStart"/>
      <w:r w:rsidR="00342AEB" w:rsidRPr="00861072">
        <w:rPr>
          <w:lang w:val="fr-FR"/>
        </w:rPr>
        <w:t>  </w:t>
      </w:r>
      <w:r w:rsidR="00E77CB3" w:rsidRPr="00861072">
        <w:rPr>
          <w:lang w:val="fr-FR"/>
        </w:rPr>
        <w:t>SUR</w:t>
      </w:r>
      <w:proofErr w:type="gramEnd"/>
      <w:r w:rsidR="00E77CB3" w:rsidRPr="00861072">
        <w:rPr>
          <w:lang w:val="fr-FR"/>
        </w:rPr>
        <w:t xml:space="preserve"> LA VIOLATION ALLÉGUÉE DE L</w:t>
      </w:r>
      <w:r w:rsidR="00861072" w:rsidRPr="00861072">
        <w:rPr>
          <w:lang w:val="fr-FR"/>
        </w:rPr>
        <w:t>’</w:t>
      </w:r>
      <w:r w:rsidR="00E77CB3" w:rsidRPr="00861072">
        <w:rPr>
          <w:lang w:val="fr-FR"/>
        </w:rPr>
        <w:t xml:space="preserve">ARTICLE </w:t>
      </w:r>
      <w:r w:rsidR="00E6452B" w:rsidRPr="00861072">
        <w:rPr>
          <w:lang w:val="fr-FR"/>
        </w:rPr>
        <w:t>1 DU PROTOCOLE N</w:t>
      </w:r>
      <w:r w:rsidR="00E6452B" w:rsidRPr="00861072">
        <w:rPr>
          <w:vertAlign w:val="superscript"/>
          <w:lang w:val="fr-FR"/>
        </w:rPr>
        <w:t>o</w:t>
      </w:r>
      <w:r w:rsidR="00E26990" w:rsidRPr="00861072">
        <w:rPr>
          <w:vertAlign w:val="superscript"/>
          <w:lang w:val="fr-FR"/>
        </w:rPr>
        <w:t> </w:t>
      </w:r>
      <w:r w:rsidR="00E6452B" w:rsidRPr="00861072">
        <w:rPr>
          <w:lang w:val="fr-FR"/>
        </w:rPr>
        <w:t>1</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24</w:t>
      </w:r>
      <w:r w:rsidRPr="00861072">
        <w:rPr>
          <w:lang w:val="fr-FR"/>
        </w:rPr>
        <w:fldChar w:fldCharType="end"/>
      </w:r>
      <w:r w:rsidR="00E77CB3" w:rsidRPr="00861072">
        <w:rPr>
          <w:lang w:val="fr-FR"/>
        </w:rPr>
        <w:t>.  </w:t>
      </w:r>
      <w:r w:rsidRPr="00861072">
        <w:rPr>
          <w:lang w:val="fr-FR"/>
        </w:rPr>
        <w:t>Les requérants</w:t>
      </w:r>
      <w:r w:rsidR="00E77CB3" w:rsidRPr="00861072">
        <w:rPr>
          <w:lang w:val="fr-FR"/>
        </w:rPr>
        <w:t xml:space="preserve"> allègue</w:t>
      </w:r>
      <w:r w:rsidRPr="00861072">
        <w:rPr>
          <w:lang w:val="fr-FR"/>
        </w:rPr>
        <w:t>nt</w:t>
      </w:r>
      <w:r w:rsidR="00E77CB3" w:rsidRPr="00861072">
        <w:rPr>
          <w:lang w:val="fr-FR"/>
        </w:rPr>
        <w:t xml:space="preserve"> </w:t>
      </w:r>
      <w:r w:rsidR="00202F2D" w:rsidRPr="00861072">
        <w:rPr>
          <w:lang w:val="fr-FR"/>
        </w:rPr>
        <w:t xml:space="preserve">avoir été privés de leur terrain </w:t>
      </w:r>
      <w:r w:rsidR="0055258E" w:rsidRPr="00861072">
        <w:rPr>
          <w:lang w:val="fr-FR"/>
        </w:rPr>
        <w:t>d</w:t>
      </w:r>
      <w:r w:rsidR="00861072" w:rsidRPr="00861072">
        <w:rPr>
          <w:lang w:val="fr-FR"/>
        </w:rPr>
        <w:t>’</w:t>
      </w:r>
      <w:r w:rsidR="0055258E" w:rsidRPr="00861072">
        <w:rPr>
          <w:lang w:val="fr-FR"/>
        </w:rPr>
        <w:t xml:space="preserve">une </w:t>
      </w:r>
      <w:r w:rsidR="00202F2D" w:rsidRPr="00861072">
        <w:rPr>
          <w:lang w:val="fr-FR"/>
        </w:rPr>
        <w:t>manière incompatible avec l</w:t>
      </w:r>
      <w:r w:rsidR="00861072" w:rsidRPr="00861072">
        <w:rPr>
          <w:lang w:val="fr-FR"/>
        </w:rPr>
        <w:t>’</w:t>
      </w:r>
      <w:r w:rsidR="00202F2D" w:rsidRPr="00861072">
        <w:rPr>
          <w:lang w:val="fr-FR"/>
        </w:rPr>
        <w:t>article 1 du Protocole n</w:t>
      </w:r>
      <w:r w:rsidR="00202F2D" w:rsidRPr="00861072">
        <w:rPr>
          <w:vertAlign w:val="superscript"/>
          <w:lang w:val="fr-FR"/>
        </w:rPr>
        <w:t>o</w:t>
      </w:r>
      <w:r w:rsidR="00202F2D" w:rsidRPr="00861072">
        <w:rPr>
          <w:rFonts w:ascii="Times New (W1)" w:hAnsi="Times New (W1)" w:cs="Times New (W1)"/>
          <w:lang w:val="fr-FR"/>
        </w:rPr>
        <w:t xml:space="preserve"> </w:t>
      </w:r>
      <w:r w:rsidR="00202F2D" w:rsidRPr="00861072">
        <w:rPr>
          <w:lang w:val="fr-FR"/>
        </w:rPr>
        <w:t xml:space="preserve">1 </w:t>
      </w:r>
      <w:r w:rsidR="0055258E" w:rsidRPr="00861072">
        <w:rPr>
          <w:lang w:val="fr-FR"/>
        </w:rPr>
        <w:t>à</w:t>
      </w:r>
      <w:r w:rsidR="00E77CB3" w:rsidRPr="00861072">
        <w:rPr>
          <w:lang w:val="fr-FR"/>
        </w:rPr>
        <w:t xml:space="preserve"> la Convention, </w:t>
      </w:r>
      <w:r w:rsidR="0055258E" w:rsidRPr="00861072">
        <w:rPr>
          <w:lang w:val="fr-FR"/>
        </w:rPr>
        <w:t xml:space="preserve">qui est </w:t>
      </w:r>
      <w:r w:rsidR="00E77CB3" w:rsidRPr="00861072">
        <w:rPr>
          <w:lang w:val="fr-FR"/>
        </w:rPr>
        <w:t>ainsi libellé :</w:t>
      </w:r>
    </w:p>
    <w:p w:rsidR="00B70E3B" w:rsidRPr="00861072" w:rsidRDefault="00B70E3B" w:rsidP="00861072">
      <w:pPr>
        <w:pStyle w:val="ECHRParaQuote"/>
        <w:rPr>
          <w:lang w:val="fr-FR"/>
        </w:rPr>
      </w:pPr>
      <w:r w:rsidRPr="00861072">
        <w:rPr>
          <w:lang w:val="fr-FR"/>
        </w:rPr>
        <w:t>« Toute personne physique ou morale a droit au respect de ses biens. Nul ne peut être privé de sa propriété que pour cause d</w:t>
      </w:r>
      <w:r w:rsidR="00861072" w:rsidRPr="00861072">
        <w:rPr>
          <w:lang w:val="fr-FR"/>
        </w:rPr>
        <w:t>’</w:t>
      </w:r>
      <w:r w:rsidRPr="00861072">
        <w:rPr>
          <w:lang w:val="fr-FR"/>
        </w:rPr>
        <w:t>utilité publique et dans les conditions prévues par la loi et les principes généraux du droit international.</w:t>
      </w:r>
    </w:p>
    <w:p w:rsidR="00E77CB3" w:rsidRPr="00861072" w:rsidRDefault="00B70E3B" w:rsidP="00861072">
      <w:pPr>
        <w:pStyle w:val="ECHRParaQuote"/>
        <w:rPr>
          <w:lang w:val="fr-FR"/>
        </w:rPr>
      </w:pPr>
      <w:r w:rsidRPr="00861072">
        <w:rPr>
          <w:lang w:val="fr-FR"/>
        </w:rPr>
        <w:t xml:space="preserve">Les dispositions précédentes ne portent pas atteinte au droit que possèdent les </w:t>
      </w:r>
      <w:r w:rsidR="001B13B7" w:rsidRPr="00861072">
        <w:rPr>
          <w:lang w:val="fr-FR"/>
        </w:rPr>
        <w:t>États</w:t>
      </w:r>
      <w:r w:rsidRPr="00861072">
        <w:rPr>
          <w:lang w:val="fr-FR"/>
        </w:rPr>
        <w:t xml:space="preserve"> de mettre en vigueur les lois qu</w:t>
      </w:r>
      <w:r w:rsidR="00861072" w:rsidRPr="00861072">
        <w:rPr>
          <w:lang w:val="fr-FR"/>
        </w:rPr>
        <w:t>’</w:t>
      </w:r>
      <w:r w:rsidRPr="00861072">
        <w:rPr>
          <w:lang w:val="fr-FR"/>
        </w:rPr>
        <w:t>ils jugent nécessaires pour réglementer l</w:t>
      </w:r>
      <w:r w:rsidR="00861072" w:rsidRPr="00861072">
        <w:rPr>
          <w:lang w:val="fr-FR"/>
        </w:rPr>
        <w:t>’</w:t>
      </w:r>
      <w:r w:rsidRPr="00861072">
        <w:rPr>
          <w:lang w:val="fr-FR"/>
        </w:rPr>
        <w:t>usage des biens conformément à l</w:t>
      </w:r>
      <w:r w:rsidR="00861072" w:rsidRPr="00861072">
        <w:rPr>
          <w:lang w:val="fr-FR"/>
        </w:rPr>
        <w:t>’</w:t>
      </w:r>
      <w:r w:rsidRPr="00861072">
        <w:rPr>
          <w:lang w:val="fr-FR"/>
        </w:rPr>
        <w:t>intérêt général ou pour assurer le paiement des impôts ou d</w:t>
      </w:r>
      <w:r w:rsidR="00861072" w:rsidRPr="00861072">
        <w:rPr>
          <w:lang w:val="fr-FR"/>
        </w:rPr>
        <w:t>’</w:t>
      </w:r>
      <w:r w:rsidRPr="00861072">
        <w:rPr>
          <w:lang w:val="fr-FR"/>
        </w:rPr>
        <w:t>autres contributions ou des amendes. »</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25</w:t>
      </w:r>
      <w:r w:rsidRPr="00861072">
        <w:rPr>
          <w:lang w:val="fr-FR"/>
        </w:rPr>
        <w:fldChar w:fldCharType="end"/>
      </w:r>
      <w:r w:rsidR="00E77CB3" w:rsidRPr="00861072">
        <w:rPr>
          <w:lang w:val="fr-FR"/>
        </w:rPr>
        <w:t xml:space="preserve">.  Le Gouvernement </w:t>
      </w:r>
      <w:r w:rsidR="0055258E" w:rsidRPr="00861072">
        <w:rPr>
          <w:lang w:val="fr-FR"/>
        </w:rPr>
        <w:t>conteste</w:t>
      </w:r>
      <w:r w:rsidR="00E77CB3" w:rsidRPr="00861072">
        <w:rPr>
          <w:lang w:val="fr-FR"/>
        </w:rPr>
        <w:t xml:space="preserve"> cette thèse.</w:t>
      </w:r>
    </w:p>
    <w:p w:rsidR="00E77CB3" w:rsidRPr="00861072" w:rsidRDefault="00E77CB3" w:rsidP="00861072">
      <w:pPr>
        <w:pStyle w:val="ECHRHeading2"/>
        <w:rPr>
          <w:lang w:val="fr-FR"/>
        </w:rPr>
      </w:pPr>
      <w:r w:rsidRPr="00861072">
        <w:rPr>
          <w:lang w:val="fr-FR"/>
        </w:rPr>
        <w:t>A.</w:t>
      </w:r>
      <w:proofErr w:type="gramStart"/>
      <w:r w:rsidRPr="00861072">
        <w:rPr>
          <w:lang w:val="fr-FR"/>
        </w:rPr>
        <w:t>  Sur</w:t>
      </w:r>
      <w:proofErr w:type="gramEnd"/>
      <w:r w:rsidRPr="00861072">
        <w:rPr>
          <w:lang w:val="fr-FR"/>
        </w:rPr>
        <w:t xml:space="preserve"> la recevabilité</w:t>
      </w:r>
    </w:p>
    <w:p w:rsidR="00FC63E9" w:rsidRPr="00861072" w:rsidRDefault="00E52443" w:rsidP="00861072">
      <w:pPr>
        <w:pStyle w:val="ECHRPara"/>
        <w:rPr>
          <w:lang w:val="fr-FR" w:eastAsia="en-GB"/>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26</w:t>
      </w:r>
      <w:r w:rsidRPr="00861072">
        <w:rPr>
          <w:lang w:val="fr-FR"/>
        </w:rPr>
        <w:fldChar w:fldCharType="end"/>
      </w:r>
      <w:r w:rsidR="00E77CB3" w:rsidRPr="00861072">
        <w:rPr>
          <w:lang w:val="fr-FR"/>
        </w:rPr>
        <w:t>.  </w:t>
      </w:r>
      <w:r w:rsidR="00FC63E9" w:rsidRPr="00861072">
        <w:rPr>
          <w:lang w:val="fr-FR" w:eastAsia="en-GB"/>
        </w:rPr>
        <w:t xml:space="preserve">Le Gouvernement soulève une exception de non-épuisement des voies de recours internes au motif que les </w:t>
      </w:r>
      <w:r w:rsidR="00991C52" w:rsidRPr="00861072">
        <w:rPr>
          <w:lang w:val="fr-FR" w:eastAsia="en-GB"/>
        </w:rPr>
        <w:t xml:space="preserve">requérants </w:t>
      </w:r>
      <w:r w:rsidR="00777C3A" w:rsidRPr="00861072">
        <w:rPr>
          <w:lang w:val="fr-FR" w:eastAsia="en-GB"/>
        </w:rPr>
        <w:t>n</w:t>
      </w:r>
      <w:r w:rsidR="00861072" w:rsidRPr="00861072">
        <w:rPr>
          <w:lang w:val="fr-FR" w:eastAsia="en-GB"/>
        </w:rPr>
        <w:t>’</w:t>
      </w:r>
      <w:r w:rsidR="00777C3A" w:rsidRPr="00861072">
        <w:rPr>
          <w:lang w:val="fr-FR" w:eastAsia="en-GB"/>
        </w:rPr>
        <w:t xml:space="preserve">ont pas interjeté appel </w:t>
      </w:r>
      <w:r w:rsidR="00991C52" w:rsidRPr="00861072">
        <w:rPr>
          <w:lang w:val="fr-FR" w:eastAsia="en-GB"/>
        </w:rPr>
        <w:t xml:space="preserve">de </w:t>
      </w:r>
      <w:r w:rsidR="00FC63E9" w:rsidRPr="00861072">
        <w:rPr>
          <w:lang w:val="fr-FR" w:eastAsia="en-GB"/>
        </w:rPr>
        <w:t>l</w:t>
      </w:r>
      <w:r w:rsidR="00861072" w:rsidRPr="00861072">
        <w:rPr>
          <w:lang w:val="fr-FR" w:eastAsia="en-GB"/>
        </w:rPr>
        <w:t>’</w:t>
      </w:r>
      <w:r w:rsidR="00FC63E9" w:rsidRPr="00861072">
        <w:rPr>
          <w:lang w:val="fr-FR" w:eastAsia="en-GB"/>
        </w:rPr>
        <w:t xml:space="preserve">arrêt </w:t>
      </w:r>
      <w:r w:rsidR="00777C3A" w:rsidRPr="00861072">
        <w:rPr>
          <w:lang w:val="fr-FR" w:eastAsia="en-GB"/>
        </w:rPr>
        <w:t>du tribunal</w:t>
      </w:r>
      <w:r w:rsidR="00FC63E9" w:rsidRPr="00861072">
        <w:rPr>
          <w:lang w:val="fr-FR" w:eastAsia="en-GB"/>
        </w:rPr>
        <w:t>.</w:t>
      </w:r>
    </w:p>
    <w:p w:rsidR="00FC63E9" w:rsidRPr="00861072" w:rsidRDefault="00C55719"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27</w:t>
      </w:r>
      <w:r w:rsidRPr="00861072">
        <w:rPr>
          <w:lang w:val="fr-FR" w:eastAsia="en-GB"/>
        </w:rPr>
        <w:fldChar w:fldCharType="end"/>
      </w:r>
      <w:r w:rsidRPr="00861072">
        <w:rPr>
          <w:lang w:val="fr-FR" w:eastAsia="en-GB"/>
        </w:rPr>
        <w:t>.  </w:t>
      </w:r>
      <w:r w:rsidR="00FC63E9" w:rsidRPr="00861072">
        <w:rPr>
          <w:lang w:val="fr-FR" w:eastAsia="en-GB"/>
        </w:rPr>
        <w:t xml:space="preserve">Les requérants </w:t>
      </w:r>
      <w:r w:rsidR="00C33A4A" w:rsidRPr="00861072">
        <w:rPr>
          <w:lang w:val="fr-FR" w:eastAsia="en-GB"/>
        </w:rPr>
        <w:t>demandent à la Cour de rejeter</w:t>
      </w:r>
      <w:r w:rsidR="00FC63E9" w:rsidRPr="00861072">
        <w:rPr>
          <w:lang w:val="fr-FR" w:eastAsia="en-GB"/>
        </w:rPr>
        <w:t xml:space="preserve"> l</w:t>
      </w:r>
      <w:r w:rsidR="00861072" w:rsidRPr="00861072">
        <w:rPr>
          <w:lang w:val="fr-FR" w:eastAsia="en-GB"/>
        </w:rPr>
        <w:t>’</w:t>
      </w:r>
      <w:r w:rsidR="00FC63E9" w:rsidRPr="00861072">
        <w:rPr>
          <w:lang w:val="fr-FR" w:eastAsia="en-GB"/>
        </w:rPr>
        <w:t xml:space="preserve">exception </w:t>
      </w:r>
      <w:r w:rsidR="00754491" w:rsidRPr="00861072">
        <w:rPr>
          <w:lang w:val="fr-FR" w:eastAsia="en-GB"/>
        </w:rPr>
        <w:t>du</w:t>
      </w:r>
      <w:r w:rsidR="003C4F60" w:rsidRPr="00861072">
        <w:rPr>
          <w:lang w:val="fr-FR" w:eastAsia="en-GB"/>
        </w:rPr>
        <w:t xml:space="preserve"> </w:t>
      </w:r>
      <w:r w:rsidR="00FC63E9" w:rsidRPr="00861072">
        <w:rPr>
          <w:lang w:val="fr-FR" w:eastAsia="en-GB"/>
        </w:rPr>
        <w:t xml:space="preserve">Gouvernement </w:t>
      </w:r>
      <w:r w:rsidR="00C33A4A" w:rsidRPr="00861072">
        <w:rPr>
          <w:lang w:val="fr-FR" w:eastAsia="en-GB"/>
        </w:rPr>
        <w:t>au motif</w:t>
      </w:r>
      <w:r w:rsidR="00FC63E9" w:rsidRPr="00861072">
        <w:rPr>
          <w:lang w:val="fr-FR" w:eastAsia="en-GB"/>
        </w:rPr>
        <w:t xml:space="preserve"> qu</w:t>
      </w:r>
      <w:r w:rsidR="00861072" w:rsidRPr="00861072">
        <w:rPr>
          <w:lang w:val="fr-FR" w:eastAsia="en-GB"/>
        </w:rPr>
        <w:t>’</w:t>
      </w:r>
      <w:r w:rsidR="00FC63E9" w:rsidRPr="00861072">
        <w:rPr>
          <w:lang w:val="fr-FR" w:eastAsia="en-GB"/>
        </w:rPr>
        <w:t xml:space="preserve">un </w:t>
      </w:r>
      <w:r w:rsidR="00CB2E2C" w:rsidRPr="00861072">
        <w:rPr>
          <w:lang w:val="fr-FR" w:eastAsia="en-GB"/>
        </w:rPr>
        <w:t>appel</w:t>
      </w:r>
      <w:r w:rsidR="00FC63E9" w:rsidRPr="00861072">
        <w:rPr>
          <w:lang w:val="fr-FR" w:eastAsia="en-GB"/>
        </w:rPr>
        <w:t xml:space="preserve"> n</w:t>
      </w:r>
      <w:r w:rsidR="00861072" w:rsidRPr="00861072">
        <w:rPr>
          <w:lang w:val="fr-FR" w:eastAsia="en-GB"/>
        </w:rPr>
        <w:t>’</w:t>
      </w:r>
      <w:r w:rsidR="00FC63E9" w:rsidRPr="00861072">
        <w:rPr>
          <w:lang w:val="fr-FR" w:eastAsia="en-GB"/>
        </w:rPr>
        <w:t xml:space="preserve">aurait </w:t>
      </w:r>
      <w:r w:rsidR="00991C52" w:rsidRPr="00861072">
        <w:rPr>
          <w:lang w:val="fr-FR" w:eastAsia="en-GB"/>
        </w:rPr>
        <w:t xml:space="preserve">pas </w:t>
      </w:r>
      <w:r w:rsidR="00FC63E9" w:rsidRPr="00861072">
        <w:rPr>
          <w:lang w:val="fr-FR" w:eastAsia="en-GB"/>
        </w:rPr>
        <w:t>remédié à la situation dénoncée.</w:t>
      </w:r>
    </w:p>
    <w:p w:rsidR="00FC63E9" w:rsidRPr="00861072" w:rsidRDefault="00C55719"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28</w:t>
      </w:r>
      <w:r w:rsidRPr="00861072">
        <w:rPr>
          <w:lang w:val="fr-FR" w:eastAsia="en-GB"/>
        </w:rPr>
        <w:fldChar w:fldCharType="end"/>
      </w:r>
      <w:r w:rsidRPr="00861072">
        <w:rPr>
          <w:lang w:val="fr-FR" w:eastAsia="en-GB"/>
        </w:rPr>
        <w:t>.  </w:t>
      </w:r>
      <w:r w:rsidR="00FC63E9" w:rsidRPr="00861072">
        <w:rPr>
          <w:lang w:val="fr-FR" w:eastAsia="en-GB"/>
        </w:rPr>
        <w:t xml:space="preserve">La Cour rappelle avoir déjà rejeté des exceptions semblables dans les affaires </w:t>
      </w:r>
      <w:proofErr w:type="spellStart"/>
      <w:r w:rsidR="00FC63E9" w:rsidRPr="00861072">
        <w:rPr>
          <w:i/>
          <w:lang w:val="fr-FR" w:eastAsia="en-GB"/>
        </w:rPr>
        <w:t>Giacobbe</w:t>
      </w:r>
      <w:proofErr w:type="spellEnd"/>
      <w:r w:rsidR="00FC63E9" w:rsidRPr="00861072">
        <w:rPr>
          <w:i/>
          <w:lang w:val="fr-FR" w:eastAsia="en-GB"/>
        </w:rPr>
        <w:t xml:space="preserve"> et autres c. Italie</w:t>
      </w:r>
      <w:r w:rsidR="00FC63E9" w:rsidRPr="00861072">
        <w:rPr>
          <w:lang w:val="fr-FR" w:eastAsia="en-GB"/>
        </w:rPr>
        <w:t xml:space="preserve"> (n</w:t>
      </w:r>
      <w:r w:rsidR="00FC63E9" w:rsidRPr="00861072">
        <w:rPr>
          <w:vertAlign w:val="superscript"/>
          <w:lang w:val="fr-FR" w:eastAsia="en-GB"/>
        </w:rPr>
        <w:t>o</w:t>
      </w:r>
      <w:r w:rsidR="00FC63E9" w:rsidRPr="00861072">
        <w:rPr>
          <w:lang w:val="fr-FR" w:eastAsia="en-GB"/>
        </w:rPr>
        <w:t xml:space="preserve"> 16041/02, 15 décembre 2005) et </w:t>
      </w:r>
      <w:proofErr w:type="spellStart"/>
      <w:r w:rsidR="00FC63E9" w:rsidRPr="00861072">
        <w:rPr>
          <w:i/>
          <w:lang w:val="fr-FR" w:eastAsia="en-GB"/>
        </w:rPr>
        <w:t>Chirò</w:t>
      </w:r>
      <w:proofErr w:type="spellEnd"/>
      <w:r w:rsidR="00FC63E9" w:rsidRPr="00861072">
        <w:rPr>
          <w:i/>
          <w:lang w:val="fr-FR" w:eastAsia="en-GB"/>
        </w:rPr>
        <w:t xml:space="preserve"> c. Italie</w:t>
      </w:r>
      <w:r w:rsidR="00FC63E9" w:rsidRPr="00861072">
        <w:rPr>
          <w:lang w:val="fr-FR" w:eastAsia="en-GB"/>
        </w:rPr>
        <w:t xml:space="preserve"> </w:t>
      </w:r>
      <w:r w:rsidR="00FC63E9" w:rsidRPr="00861072">
        <w:rPr>
          <w:i/>
          <w:lang w:val="fr-FR" w:eastAsia="en-GB"/>
        </w:rPr>
        <w:t>(n</w:t>
      </w:r>
      <w:r w:rsidR="00FC63E9" w:rsidRPr="00861072">
        <w:rPr>
          <w:i/>
          <w:vertAlign w:val="superscript"/>
          <w:lang w:val="fr-FR" w:eastAsia="en-GB"/>
        </w:rPr>
        <w:t>o</w:t>
      </w:r>
      <w:r w:rsidR="00FC63E9" w:rsidRPr="00861072">
        <w:rPr>
          <w:i/>
          <w:lang w:val="fr-FR" w:eastAsia="en-GB"/>
        </w:rPr>
        <w:t xml:space="preserve"> 5)</w:t>
      </w:r>
      <w:r w:rsidR="00FC63E9" w:rsidRPr="00861072">
        <w:rPr>
          <w:lang w:val="fr-FR" w:eastAsia="en-GB"/>
        </w:rPr>
        <w:t xml:space="preserve"> (n</w:t>
      </w:r>
      <w:r w:rsidR="00FC63E9" w:rsidRPr="00861072">
        <w:rPr>
          <w:vertAlign w:val="superscript"/>
          <w:lang w:val="fr-FR" w:eastAsia="en-GB"/>
        </w:rPr>
        <w:t>o</w:t>
      </w:r>
      <w:r w:rsidR="00FC63E9" w:rsidRPr="00861072">
        <w:rPr>
          <w:lang w:val="fr-FR" w:eastAsia="en-GB"/>
        </w:rPr>
        <w:t xml:space="preserve"> 67197/01, 11 octobre 2005). Elle </w:t>
      </w:r>
      <w:r w:rsidR="004F5D4C" w:rsidRPr="00861072">
        <w:rPr>
          <w:lang w:val="fr-FR" w:eastAsia="en-GB"/>
        </w:rPr>
        <w:t xml:space="preserve">ne voit </w:t>
      </w:r>
      <w:r w:rsidR="00FC63E9" w:rsidRPr="00861072">
        <w:rPr>
          <w:lang w:val="fr-FR" w:eastAsia="en-GB"/>
        </w:rPr>
        <w:t>aucun</w:t>
      </w:r>
      <w:r w:rsidR="004F5D4C" w:rsidRPr="00861072">
        <w:rPr>
          <w:lang w:val="fr-FR" w:eastAsia="en-GB"/>
        </w:rPr>
        <w:t>e</w:t>
      </w:r>
      <w:r w:rsidR="00FC63E9" w:rsidRPr="00861072">
        <w:rPr>
          <w:lang w:val="fr-FR" w:eastAsia="en-GB"/>
        </w:rPr>
        <w:t xml:space="preserve"> </w:t>
      </w:r>
      <w:r w:rsidR="004F5D4C" w:rsidRPr="00861072">
        <w:rPr>
          <w:lang w:val="fr-FR" w:eastAsia="en-GB"/>
        </w:rPr>
        <w:t xml:space="preserve">raison </w:t>
      </w:r>
      <w:r w:rsidR="00FC63E9" w:rsidRPr="00861072">
        <w:rPr>
          <w:lang w:val="fr-FR" w:eastAsia="en-GB"/>
        </w:rPr>
        <w:t xml:space="preserve">de </w:t>
      </w:r>
      <w:r w:rsidR="004F5D4C" w:rsidRPr="00861072">
        <w:rPr>
          <w:lang w:val="fr-FR" w:eastAsia="en-GB"/>
        </w:rPr>
        <w:t>parvenir à une autre conclusion en l</w:t>
      </w:r>
      <w:r w:rsidR="00861072" w:rsidRPr="00861072">
        <w:rPr>
          <w:lang w:val="fr-FR" w:eastAsia="en-GB"/>
        </w:rPr>
        <w:t>’</w:t>
      </w:r>
      <w:r w:rsidR="004F5D4C" w:rsidRPr="00861072">
        <w:rPr>
          <w:lang w:val="fr-FR" w:eastAsia="en-GB"/>
        </w:rPr>
        <w:t>espèce</w:t>
      </w:r>
      <w:r w:rsidR="00645A3F" w:rsidRPr="00861072">
        <w:rPr>
          <w:lang w:val="fr-FR" w:eastAsia="en-GB"/>
        </w:rPr>
        <w:t>. Par conséquent, elle</w:t>
      </w:r>
      <w:r w:rsidR="00FC63E9" w:rsidRPr="00861072">
        <w:rPr>
          <w:lang w:val="fr-FR" w:eastAsia="en-GB"/>
        </w:rPr>
        <w:t xml:space="preserve"> rejette l</w:t>
      </w:r>
      <w:r w:rsidR="00861072" w:rsidRPr="00861072">
        <w:rPr>
          <w:lang w:val="fr-FR" w:eastAsia="en-GB"/>
        </w:rPr>
        <w:t>’</w:t>
      </w:r>
      <w:r w:rsidR="00FC63E9" w:rsidRPr="00861072">
        <w:rPr>
          <w:lang w:val="fr-FR" w:eastAsia="en-GB"/>
        </w:rPr>
        <w:t xml:space="preserve">exception </w:t>
      </w:r>
      <w:r w:rsidR="004F5D4C" w:rsidRPr="00861072">
        <w:rPr>
          <w:lang w:val="fr-FR" w:eastAsia="en-GB"/>
        </w:rPr>
        <w:t>soulevée par le Gouvernement</w:t>
      </w:r>
      <w:r w:rsidR="00FC63E9" w:rsidRPr="00861072">
        <w:rPr>
          <w:lang w:val="fr-FR" w:eastAsia="en-GB"/>
        </w:rPr>
        <w:t>.</w:t>
      </w:r>
    </w:p>
    <w:p w:rsidR="00FC63E9" w:rsidRPr="00861072" w:rsidRDefault="00C55719"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29</w:t>
      </w:r>
      <w:r w:rsidRPr="00861072">
        <w:rPr>
          <w:lang w:val="fr-FR" w:eastAsia="en-GB"/>
        </w:rPr>
        <w:fldChar w:fldCharType="end"/>
      </w:r>
      <w:r w:rsidRPr="00861072">
        <w:rPr>
          <w:lang w:val="fr-FR" w:eastAsia="en-GB"/>
        </w:rPr>
        <w:t>.  </w:t>
      </w:r>
      <w:r w:rsidR="00C4260A" w:rsidRPr="00861072">
        <w:rPr>
          <w:lang w:val="fr-FR" w:eastAsia="en-GB"/>
        </w:rPr>
        <w:t>Constatant que ce grief n</w:t>
      </w:r>
      <w:r w:rsidR="00861072" w:rsidRPr="00861072">
        <w:rPr>
          <w:lang w:val="fr-FR" w:eastAsia="en-GB"/>
        </w:rPr>
        <w:t>’</w:t>
      </w:r>
      <w:r w:rsidR="00C4260A" w:rsidRPr="00861072">
        <w:rPr>
          <w:lang w:val="fr-FR" w:eastAsia="en-GB"/>
        </w:rPr>
        <w:t>est pas manifestement mal fondé</w:t>
      </w:r>
      <w:r w:rsidR="00B14911" w:rsidRPr="00861072">
        <w:rPr>
          <w:lang w:val="fr-FR" w:eastAsia="en-GB"/>
        </w:rPr>
        <w:t xml:space="preserve"> </w:t>
      </w:r>
      <w:r w:rsidR="00C4260A" w:rsidRPr="00861072">
        <w:rPr>
          <w:lang w:val="fr-FR" w:eastAsia="en-GB"/>
        </w:rPr>
        <w:t>au sens de l</w:t>
      </w:r>
      <w:r w:rsidR="00861072" w:rsidRPr="00861072">
        <w:rPr>
          <w:lang w:val="fr-FR" w:eastAsia="en-GB"/>
        </w:rPr>
        <w:t>’</w:t>
      </w:r>
      <w:r w:rsidR="00C4260A" w:rsidRPr="00861072">
        <w:rPr>
          <w:lang w:val="fr-FR" w:eastAsia="en-GB"/>
        </w:rPr>
        <w:t>article 35 § 3 a) de la Convention et qu</w:t>
      </w:r>
      <w:r w:rsidR="00861072" w:rsidRPr="00861072">
        <w:rPr>
          <w:lang w:val="fr-FR" w:eastAsia="en-GB"/>
        </w:rPr>
        <w:t>’</w:t>
      </w:r>
      <w:r w:rsidR="00C4260A" w:rsidRPr="00861072">
        <w:rPr>
          <w:lang w:val="fr-FR" w:eastAsia="en-GB"/>
        </w:rPr>
        <w:t>il ne se heurte par ailleurs à aucun autre motif d</w:t>
      </w:r>
      <w:r w:rsidR="00861072" w:rsidRPr="00861072">
        <w:rPr>
          <w:lang w:val="fr-FR" w:eastAsia="en-GB"/>
        </w:rPr>
        <w:t>’</w:t>
      </w:r>
      <w:r w:rsidR="00C4260A" w:rsidRPr="00861072">
        <w:rPr>
          <w:lang w:val="fr-FR" w:eastAsia="en-GB"/>
        </w:rPr>
        <w:t>irrecevabilité, la Cour le déclare recevable</w:t>
      </w:r>
      <w:r w:rsidR="00FC63E9" w:rsidRPr="00861072">
        <w:rPr>
          <w:lang w:val="fr-FR" w:eastAsia="en-GB"/>
        </w:rPr>
        <w:t>.</w:t>
      </w:r>
    </w:p>
    <w:p w:rsidR="00E77CB3" w:rsidRPr="00861072" w:rsidRDefault="00E77CB3" w:rsidP="00861072">
      <w:pPr>
        <w:pStyle w:val="ECHRHeading2"/>
        <w:rPr>
          <w:lang w:val="fr-FR"/>
        </w:rPr>
      </w:pPr>
      <w:r w:rsidRPr="00861072">
        <w:rPr>
          <w:lang w:val="fr-FR"/>
        </w:rPr>
        <w:lastRenderedPageBreak/>
        <w:t>B.</w:t>
      </w:r>
      <w:proofErr w:type="gramStart"/>
      <w:r w:rsidRPr="00861072">
        <w:rPr>
          <w:lang w:val="fr-FR"/>
        </w:rPr>
        <w:t>  Sur</w:t>
      </w:r>
      <w:proofErr w:type="gramEnd"/>
      <w:r w:rsidRPr="00861072">
        <w:rPr>
          <w:lang w:val="fr-FR"/>
        </w:rPr>
        <w:t xml:space="preserve"> le fond</w:t>
      </w:r>
    </w:p>
    <w:p w:rsidR="003F4338" w:rsidRPr="00861072" w:rsidRDefault="003F4338" w:rsidP="00861072">
      <w:pPr>
        <w:pStyle w:val="ECHRHeading3"/>
        <w:rPr>
          <w:lang w:val="fr-FR" w:eastAsia="en-GB"/>
        </w:rPr>
      </w:pPr>
      <w:r w:rsidRPr="00861072">
        <w:rPr>
          <w:lang w:val="fr-FR" w:eastAsia="en-GB"/>
        </w:rPr>
        <w:t>1.  Arguments des parties</w:t>
      </w:r>
    </w:p>
    <w:p w:rsidR="008A1DE3" w:rsidRPr="00861072" w:rsidRDefault="003F4338" w:rsidP="00861072">
      <w:pPr>
        <w:pStyle w:val="ECHRHeading4"/>
        <w:rPr>
          <w:lang w:val="fr-FR" w:eastAsia="en-GB"/>
        </w:rPr>
      </w:pPr>
      <w:r w:rsidRPr="00861072">
        <w:rPr>
          <w:lang w:val="fr-FR" w:eastAsia="en-GB"/>
        </w:rPr>
        <w:t>a)</w:t>
      </w:r>
      <w:r w:rsidR="00645A3F" w:rsidRPr="00861072">
        <w:rPr>
          <w:lang w:val="fr-FR" w:eastAsia="en-GB"/>
        </w:rPr>
        <w:t>  L</w:t>
      </w:r>
      <w:r w:rsidRPr="00861072">
        <w:rPr>
          <w:lang w:val="fr-FR" w:eastAsia="en-GB"/>
        </w:rPr>
        <w:t>es requérants</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30</w:t>
      </w:r>
      <w:r w:rsidRPr="00861072">
        <w:rPr>
          <w:lang w:val="fr-FR" w:eastAsia="en-GB"/>
        </w:rPr>
        <w:fldChar w:fldCharType="end"/>
      </w:r>
      <w:r w:rsidRPr="00861072">
        <w:rPr>
          <w:lang w:val="fr-FR" w:eastAsia="en-GB"/>
        </w:rPr>
        <w:t xml:space="preserve">.  Les requérants </w:t>
      </w:r>
      <w:r w:rsidR="003C56EB" w:rsidRPr="00861072">
        <w:rPr>
          <w:lang w:val="fr-FR" w:eastAsia="en-GB"/>
        </w:rPr>
        <w:t xml:space="preserve">indiquent </w:t>
      </w:r>
      <w:r w:rsidRPr="00861072">
        <w:rPr>
          <w:lang w:val="fr-FR" w:eastAsia="en-GB"/>
        </w:rPr>
        <w:t>qu</w:t>
      </w:r>
      <w:r w:rsidR="00861072" w:rsidRPr="00861072">
        <w:rPr>
          <w:lang w:val="fr-FR" w:eastAsia="en-GB"/>
        </w:rPr>
        <w:t>’</w:t>
      </w:r>
      <w:r w:rsidRPr="00861072">
        <w:rPr>
          <w:lang w:val="fr-FR" w:eastAsia="en-GB"/>
        </w:rPr>
        <w:t>ils ont été privés de leur bien en vertu du principe de l</w:t>
      </w:r>
      <w:r w:rsidR="00861072" w:rsidRPr="00861072">
        <w:rPr>
          <w:lang w:val="fr-FR" w:eastAsia="en-GB"/>
        </w:rPr>
        <w:t>’</w:t>
      </w:r>
      <w:r w:rsidRPr="00861072">
        <w:rPr>
          <w:lang w:val="fr-FR" w:eastAsia="en-GB"/>
        </w:rPr>
        <w:t xml:space="preserve">expropriation indirecte, un mécanisme </w:t>
      </w:r>
      <w:r w:rsidR="00A4100B" w:rsidRPr="00861072">
        <w:rPr>
          <w:lang w:val="fr-FR" w:eastAsia="en-GB"/>
        </w:rPr>
        <w:t>permettant</w:t>
      </w:r>
      <w:r w:rsidRPr="00861072">
        <w:rPr>
          <w:lang w:val="fr-FR" w:eastAsia="en-GB"/>
        </w:rPr>
        <w:t xml:space="preserve"> à l</w:t>
      </w:r>
      <w:r w:rsidR="00861072" w:rsidRPr="00861072">
        <w:rPr>
          <w:lang w:val="fr-FR" w:eastAsia="en-GB"/>
        </w:rPr>
        <w:t>’</w:t>
      </w:r>
      <w:r w:rsidRPr="00861072">
        <w:rPr>
          <w:lang w:val="fr-FR" w:eastAsia="en-GB"/>
        </w:rPr>
        <w:t xml:space="preserve">autorité publique </w:t>
      </w:r>
      <w:r w:rsidR="004E1CC4" w:rsidRPr="00861072">
        <w:rPr>
          <w:lang w:val="fr-FR" w:eastAsia="en-GB"/>
        </w:rPr>
        <w:t>de devenir propriétaire d</w:t>
      </w:r>
      <w:r w:rsidR="00861072" w:rsidRPr="00861072">
        <w:rPr>
          <w:lang w:val="fr-FR" w:eastAsia="en-GB"/>
        </w:rPr>
        <w:t>’</w:t>
      </w:r>
      <w:r w:rsidRPr="00861072">
        <w:rPr>
          <w:lang w:val="fr-FR" w:eastAsia="en-GB"/>
        </w:rPr>
        <w:t>un bien</w:t>
      </w:r>
      <w:r w:rsidR="004E1CC4" w:rsidRPr="00861072">
        <w:rPr>
          <w:lang w:val="fr-FR" w:eastAsia="en-GB"/>
        </w:rPr>
        <w:t xml:space="preserve">, selon eux </w:t>
      </w:r>
      <w:r w:rsidRPr="00861072">
        <w:rPr>
          <w:lang w:val="fr-FR" w:eastAsia="en-GB"/>
        </w:rPr>
        <w:t>en toute illégalité</w:t>
      </w:r>
      <w:r w:rsidR="00B14911" w:rsidRPr="00861072">
        <w:rPr>
          <w:lang w:val="fr-FR" w:eastAsia="en-GB"/>
        </w:rPr>
        <w:t>. Ils estiment</w:t>
      </w:r>
      <w:r w:rsidRPr="00861072">
        <w:rPr>
          <w:lang w:val="fr-FR" w:eastAsia="en-GB"/>
        </w:rPr>
        <w:t xml:space="preserve"> </w:t>
      </w:r>
      <w:r w:rsidR="00B14911" w:rsidRPr="00861072">
        <w:rPr>
          <w:lang w:val="fr-FR" w:eastAsia="en-GB"/>
        </w:rPr>
        <w:t>que cela est</w:t>
      </w:r>
      <w:r w:rsidR="004E1CC4" w:rsidRPr="00861072">
        <w:rPr>
          <w:lang w:val="fr-FR" w:eastAsia="en-GB"/>
        </w:rPr>
        <w:t xml:space="preserve"> </w:t>
      </w:r>
      <w:r w:rsidRPr="00861072">
        <w:rPr>
          <w:lang w:val="fr-FR" w:eastAsia="en-GB"/>
        </w:rPr>
        <w:t>inadmissible dans un État de droit.</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31</w:t>
      </w:r>
      <w:r w:rsidRPr="00861072">
        <w:rPr>
          <w:lang w:val="fr-FR" w:eastAsia="en-GB"/>
        </w:rPr>
        <w:fldChar w:fldCharType="end"/>
      </w:r>
      <w:r w:rsidRPr="00861072">
        <w:rPr>
          <w:lang w:val="fr-FR" w:eastAsia="en-GB"/>
        </w:rPr>
        <w:t xml:space="preserve">.  Ils </w:t>
      </w:r>
      <w:r w:rsidR="009A42BD" w:rsidRPr="00861072">
        <w:rPr>
          <w:lang w:val="fr-FR" w:eastAsia="en-GB"/>
        </w:rPr>
        <w:t xml:space="preserve">allèguent </w:t>
      </w:r>
      <w:r w:rsidR="00645A3F" w:rsidRPr="00861072">
        <w:rPr>
          <w:lang w:val="fr-FR" w:eastAsia="en-GB"/>
        </w:rPr>
        <w:t xml:space="preserve">en outre </w:t>
      </w:r>
      <w:r w:rsidR="009A42BD" w:rsidRPr="00861072">
        <w:rPr>
          <w:lang w:val="fr-FR" w:eastAsia="en-GB"/>
        </w:rPr>
        <w:t>qu</w:t>
      </w:r>
      <w:r w:rsidR="00861072" w:rsidRPr="00861072">
        <w:rPr>
          <w:lang w:val="fr-FR" w:eastAsia="en-GB"/>
        </w:rPr>
        <w:t>’</w:t>
      </w:r>
      <w:r w:rsidR="009A42BD" w:rsidRPr="00861072">
        <w:rPr>
          <w:lang w:val="fr-FR" w:eastAsia="en-GB"/>
        </w:rPr>
        <w:t xml:space="preserve">ils </w:t>
      </w:r>
      <w:r w:rsidR="000409AD" w:rsidRPr="00861072">
        <w:rPr>
          <w:lang w:val="fr-FR" w:eastAsia="en-GB"/>
        </w:rPr>
        <w:t>n</w:t>
      </w:r>
      <w:r w:rsidR="00861072" w:rsidRPr="00861072">
        <w:rPr>
          <w:lang w:val="fr-FR" w:eastAsia="en-GB"/>
        </w:rPr>
        <w:t>’</w:t>
      </w:r>
      <w:r w:rsidR="009A42BD" w:rsidRPr="00861072">
        <w:rPr>
          <w:lang w:val="fr-FR" w:eastAsia="en-GB"/>
        </w:rPr>
        <w:t xml:space="preserve">ont </w:t>
      </w:r>
      <w:r w:rsidRPr="00861072">
        <w:rPr>
          <w:lang w:val="fr-FR" w:eastAsia="en-GB"/>
        </w:rPr>
        <w:t xml:space="preserve">eu la certitude </w:t>
      </w:r>
      <w:r w:rsidR="009A42BD" w:rsidRPr="00861072">
        <w:rPr>
          <w:lang w:val="fr-FR" w:eastAsia="en-GB"/>
        </w:rPr>
        <w:t>d</w:t>
      </w:r>
      <w:r w:rsidR="00861072" w:rsidRPr="00861072">
        <w:rPr>
          <w:lang w:val="fr-FR" w:eastAsia="en-GB"/>
        </w:rPr>
        <w:t>’</w:t>
      </w:r>
      <w:r w:rsidR="009A42BD" w:rsidRPr="00861072">
        <w:rPr>
          <w:lang w:val="fr-FR" w:eastAsia="en-GB"/>
        </w:rPr>
        <w:t>avoir perdu</w:t>
      </w:r>
      <w:r w:rsidRPr="00861072">
        <w:rPr>
          <w:lang w:val="fr-FR" w:eastAsia="en-GB"/>
        </w:rPr>
        <w:t xml:space="preserve"> </w:t>
      </w:r>
      <w:r w:rsidR="009A42BD" w:rsidRPr="00861072">
        <w:rPr>
          <w:lang w:val="fr-FR" w:eastAsia="en-GB"/>
        </w:rPr>
        <w:t>la</w:t>
      </w:r>
      <w:r w:rsidRPr="00861072">
        <w:rPr>
          <w:lang w:val="fr-FR" w:eastAsia="en-GB"/>
        </w:rPr>
        <w:t xml:space="preserve"> propriété de leur bien en application du principe </w:t>
      </w:r>
      <w:r w:rsidR="003C56EB" w:rsidRPr="00861072">
        <w:rPr>
          <w:lang w:val="fr-FR" w:eastAsia="en-GB"/>
        </w:rPr>
        <w:t>susmentionné</w:t>
      </w:r>
      <w:r w:rsidRPr="00861072">
        <w:rPr>
          <w:lang w:val="fr-FR" w:eastAsia="en-GB"/>
        </w:rPr>
        <w:t xml:space="preserve"> </w:t>
      </w:r>
      <w:r w:rsidR="000409AD" w:rsidRPr="00861072">
        <w:rPr>
          <w:lang w:val="fr-FR" w:eastAsia="en-GB"/>
        </w:rPr>
        <w:t>qu</w:t>
      </w:r>
      <w:r w:rsidR="00861072" w:rsidRPr="00861072">
        <w:rPr>
          <w:lang w:val="fr-FR" w:eastAsia="en-GB"/>
        </w:rPr>
        <w:t>’</w:t>
      </w:r>
      <w:r w:rsidRPr="00861072">
        <w:rPr>
          <w:lang w:val="fr-FR" w:eastAsia="en-GB"/>
        </w:rPr>
        <w:t>avec l</w:t>
      </w:r>
      <w:r w:rsidR="00861072" w:rsidRPr="00861072">
        <w:rPr>
          <w:lang w:val="fr-FR" w:eastAsia="en-GB"/>
        </w:rPr>
        <w:t>’</w:t>
      </w:r>
      <w:r w:rsidRPr="00861072">
        <w:rPr>
          <w:lang w:val="fr-FR" w:eastAsia="en-GB"/>
        </w:rPr>
        <w:t xml:space="preserve">arrêt </w:t>
      </w:r>
      <w:r w:rsidR="00387C16" w:rsidRPr="00861072">
        <w:rPr>
          <w:lang w:val="fr-FR" w:eastAsia="en-GB"/>
        </w:rPr>
        <w:t>du tribunal</w:t>
      </w:r>
      <w:r w:rsidR="000409AD" w:rsidRPr="00861072">
        <w:rPr>
          <w:lang w:val="fr-FR" w:eastAsia="en-GB"/>
        </w:rPr>
        <w:t>,</w:t>
      </w:r>
      <w:r w:rsidR="009A42BD" w:rsidRPr="00861072">
        <w:rPr>
          <w:lang w:val="fr-FR" w:eastAsia="en-GB"/>
        </w:rPr>
        <w:t xml:space="preserve"> </w:t>
      </w:r>
      <w:r w:rsidR="00A4520D" w:rsidRPr="00861072">
        <w:rPr>
          <w:lang w:val="fr-FR" w:eastAsia="en-GB"/>
        </w:rPr>
        <w:t>devenu définitif</w:t>
      </w:r>
      <w:r w:rsidR="00387C16" w:rsidRPr="00861072">
        <w:rPr>
          <w:lang w:val="fr-FR" w:eastAsia="en-GB"/>
        </w:rPr>
        <w:t xml:space="preserve"> le 28</w:t>
      </w:r>
      <w:r w:rsidR="00F95063" w:rsidRPr="00861072">
        <w:rPr>
          <w:lang w:val="fr-FR" w:eastAsia="en-GB"/>
        </w:rPr>
        <w:t> </w:t>
      </w:r>
      <w:r w:rsidR="00387C16" w:rsidRPr="00861072">
        <w:rPr>
          <w:lang w:val="fr-FR" w:eastAsia="en-GB"/>
        </w:rPr>
        <w:t>mai 2005</w:t>
      </w:r>
      <w:r w:rsidRPr="00861072">
        <w:rPr>
          <w:lang w:val="fr-FR" w:eastAsia="en-GB"/>
        </w:rPr>
        <w:t>.</w:t>
      </w:r>
    </w:p>
    <w:p w:rsidR="003F4338" w:rsidRPr="00861072" w:rsidRDefault="003F4338" w:rsidP="00861072">
      <w:pPr>
        <w:pStyle w:val="ECHRHeading4"/>
        <w:rPr>
          <w:lang w:val="fr-FR" w:eastAsia="en-GB"/>
        </w:rPr>
      </w:pPr>
      <w:r w:rsidRPr="00861072">
        <w:rPr>
          <w:lang w:val="fr-FR" w:eastAsia="en-GB"/>
        </w:rPr>
        <w:t>b)  Le Gouvernement</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32</w:t>
      </w:r>
      <w:r w:rsidRPr="00861072">
        <w:rPr>
          <w:lang w:val="fr-FR" w:eastAsia="en-GB"/>
        </w:rPr>
        <w:fldChar w:fldCharType="end"/>
      </w:r>
      <w:r w:rsidRPr="00861072">
        <w:rPr>
          <w:lang w:val="fr-FR" w:eastAsia="en-GB"/>
        </w:rPr>
        <w:t>.  Le Gouvernement prend acte de ce que la jurisprudence de la Cour, désormais consolidée, conclut à une incompatibilité du mécanisme de l</w:t>
      </w:r>
      <w:r w:rsidR="00861072" w:rsidRPr="00861072">
        <w:rPr>
          <w:lang w:val="fr-FR" w:eastAsia="en-GB"/>
        </w:rPr>
        <w:t>’</w:t>
      </w:r>
      <w:r w:rsidRPr="00861072">
        <w:rPr>
          <w:lang w:val="fr-FR" w:eastAsia="en-GB"/>
        </w:rPr>
        <w:t>expropriation indirecte avec le principe de légalité.</w:t>
      </w:r>
      <w:r w:rsidR="00AD6879" w:rsidRPr="00861072">
        <w:rPr>
          <w:lang w:val="fr-FR" w:eastAsia="en-GB"/>
        </w:rPr>
        <w:t xml:space="preserve"> </w:t>
      </w:r>
      <w:r w:rsidRPr="00861072">
        <w:rPr>
          <w:lang w:val="fr-FR" w:eastAsia="en-GB"/>
        </w:rPr>
        <w:t xml:space="preserve">Toutefois, </w:t>
      </w:r>
      <w:r w:rsidR="002C6EA2" w:rsidRPr="00861072">
        <w:rPr>
          <w:lang w:val="fr-FR" w:eastAsia="en-GB"/>
        </w:rPr>
        <w:t xml:space="preserve">eu égard aux </w:t>
      </w:r>
      <w:r w:rsidRPr="00861072">
        <w:rPr>
          <w:lang w:val="fr-FR" w:eastAsia="en-GB"/>
        </w:rPr>
        <w:t>arrêts des juridictions internes déclarant qu</w:t>
      </w:r>
      <w:r w:rsidR="00861072" w:rsidRPr="00861072">
        <w:rPr>
          <w:lang w:val="fr-FR" w:eastAsia="en-GB"/>
        </w:rPr>
        <w:t>’</w:t>
      </w:r>
      <w:r w:rsidRPr="00861072">
        <w:rPr>
          <w:lang w:val="fr-FR" w:eastAsia="en-GB"/>
        </w:rPr>
        <w:t xml:space="preserve">un transfert de propriété avait eu lieu et </w:t>
      </w:r>
      <w:r w:rsidR="002C6EA2" w:rsidRPr="00861072">
        <w:rPr>
          <w:lang w:val="fr-FR" w:eastAsia="en-GB"/>
        </w:rPr>
        <w:t xml:space="preserve">que celui-ci était </w:t>
      </w:r>
      <w:r w:rsidRPr="00861072">
        <w:rPr>
          <w:lang w:val="fr-FR" w:eastAsia="en-GB"/>
        </w:rPr>
        <w:t>assimilable à un acte formel d</w:t>
      </w:r>
      <w:r w:rsidR="00861072" w:rsidRPr="00861072">
        <w:rPr>
          <w:lang w:val="fr-FR" w:eastAsia="en-GB"/>
        </w:rPr>
        <w:t>’</w:t>
      </w:r>
      <w:r w:rsidRPr="00861072">
        <w:rPr>
          <w:lang w:val="fr-FR" w:eastAsia="en-GB"/>
        </w:rPr>
        <w:t xml:space="preserve">expropriation, </w:t>
      </w:r>
      <w:r w:rsidR="000409AD" w:rsidRPr="00861072">
        <w:rPr>
          <w:lang w:val="fr-FR" w:eastAsia="en-GB"/>
        </w:rPr>
        <w:t>il</w:t>
      </w:r>
      <w:r w:rsidR="002C6EA2" w:rsidRPr="00861072">
        <w:rPr>
          <w:lang w:val="fr-FR" w:eastAsia="en-GB"/>
        </w:rPr>
        <w:t xml:space="preserve"> plaide que </w:t>
      </w:r>
      <w:r w:rsidRPr="00861072">
        <w:rPr>
          <w:lang w:val="fr-FR" w:eastAsia="en-GB"/>
        </w:rPr>
        <w:t>l</w:t>
      </w:r>
      <w:r w:rsidR="00861072" w:rsidRPr="00861072">
        <w:rPr>
          <w:lang w:val="fr-FR" w:eastAsia="en-GB"/>
        </w:rPr>
        <w:t>’</w:t>
      </w:r>
      <w:r w:rsidRPr="00861072">
        <w:rPr>
          <w:lang w:val="fr-FR" w:eastAsia="en-GB"/>
        </w:rPr>
        <w:t xml:space="preserve">expropriation en question ne </w:t>
      </w:r>
      <w:r w:rsidR="002C6EA2" w:rsidRPr="00861072">
        <w:rPr>
          <w:lang w:val="fr-FR" w:eastAsia="en-GB"/>
        </w:rPr>
        <w:t xml:space="preserve">peut </w:t>
      </w:r>
      <w:r w:rsidRPr="00861072">
        <w:rPr>
          <w:lang w:val="fr-FR" w:eastAsia="en-GB"/>
        </w:rPr>
        <w:t xml:space="preserve">plus </w:t>
      </w:r>
      <w:r w:rsidR="002C6EA2" w:rsidRPr="00861072">
        <w:rPr>
          <w:lang w:val="fr-FR" w:eastAsia="en-GB"/>
        </w:rPr>
        <w:t xml:space="preserve">être considérée </w:t>
      </w:r>
      <w:r w:rsidRPr="00861072">
        <w:rPr>
          <w:lang w:val="fr-FR" w:eastAsia="en-GB"/>
        </w:rPr>
        <w:t>comme incompatible avec le respect des biens et le principe de prééminence du droit.</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33</w:t>
      </w:r>
      <w:r w:rsidRPr="00861072">
        <w:rPr>
          <w:lang w:val="fr-FR" w:eastAsia="en-GB"/>
        </w:rPr>
        <w:fldChar w:fldCharType="end"/>
      </w:r>
      <w:r w:rsidRPr="00861072">
        <w:rPr>
          <w:lang w:val="fr-FR" w:eastAsia="en-GB"/>
        </w:rPr>
        <w:t xml:space="preserve">.  Quant au dédommagement, </w:t>
      </w:r>
      <w:r w:rsidR="000409AD" w:rsidRPr="00861072">
        <w:rPr>
          <w:lang w:val="fr-FR" w:eastAsia="en-GB"/>
        </w:rPr>
        <w:t>il</w:t>
      </w:r>
      <w:r w:rsidRPr="00861072">
        <w:rPr>
          <w:lang w:val="fr-FR" w:eastAsia="en-GB"/>
        </w:rPr>
        <w:t xml:space="preserve"> reconnaît que les paramètres appliqués dans </w:t>
      </w:r>
      <w:r w:rsidR="00025A1F" w:rsidRPr="00861072">
        <w:rPr>
          <w:lang w:val="fr-FR" w:eastAsia="en-GB"/>
        </w:rPr>
        <w:t>la présente affaire</w:t>
      </w:r>
      <w:r w:rsidRPr="00861072">
        <w:rPr>
          <w:lang w:val="fr-FR" w:eastAsia="en-GB"/>
        </w:rPr>
        <w:t xml:space="preserve"> posent des problèmes de compatibilité avec la Convention, les requérants n</w:t>
      </w:r>
      <w:r w:rsidR="00861072" w:rsidRPr="00861072">
        <w:rPr>
          <w:lang w:val="fr-FR" w:eastAsia="en-GB"/>
        </w:rPr>
        <w:t>’</w:t>
      </w:r>
      <w:r w:rsidR="00025A1F" w:rsidRPr="00861072">
        <w:rPr>
          <w:lang w:val="fr-FR" w:eastAsia="en-GB"/>
        </w:rPr>
        <w:t>ayant</w:t>
      </w:r>
      <w:r w:rsidRPr="00861072">
        <w:rPr>
          <w:lang w:val="fr-FR" w:eastAsia="en-GB"/>
        </w:rPr>
        <w:t xml:space="preserve"> pas été </w:t>
      </w:r>
      <w:r w:rsidR="00043744" w:rsidRPr="00861072">
        <w:rPr>
          <w:lang w:val="fr-FR" w:eastAsia="en-GB"/>
        </w:rPr>
        <w:t xml:space="preserve">indemnisés </w:t>
      </w:r>
      <w:r w:rsidRPr="00861072">
        <w:rPr>
          <w:lang w:val="fr-FR" w:eastAsia="en-GB"/>
        </w:rPr>
        <w:t xml:space="preserve">sur la base de la valeur vénale </w:t>
      </w:r>
      <w:r w:rsidR="00317406" w:rsidRPr="00861072">
        <w:rPr>
          <w:lang w:val="fr-FR" w:eastAsia="en-GB"/>
        </w:rPr>
        <w:t>du terrain</w:t>
      </w:r>
      <w:r w:rsidRPr="00861072">
        <w:rPr>
          <w:lang w:val="fr-FR" w:eastAsia="en-GB"/>
        </w:rPr>
        <w:t>.</w:t>
      </w:r>
    </w:p>
    <w:p w:rsidR="003F4338" w:rsidRPr="00861072" w:rsidRDefault="003F4338" w:rsidP="00861072">
      <w:pPr>
        <w:pStyle w:val="ECHRHeading3"/>
        <w:rPr>
          <w:lang w:val="fr-FR" w:eastAsia="en-GB"/>
        </w:rPr>
      </w:pPr>
      <w:r w:rsidRPr="00861072">
        <w:rPr>
          <w:lang w:val="fr-FR" w:eastAsia="en-GB"/>
        </w:rPr>
        <w:t>2.  Appréciation de la Cour</w:t>
      </w:r>
    </w:p>
    <w:p w:rsidR="003F4338" w:rsidRPr="00861072" w:rsidRDefault="003F4338" w:rsidP="00861072">
      <w:pPr>
        <w:pStyle w:val="ECHRHeading4"/>
        <w:rPr>
          <w:lang w:val="fr-FR" w:eastAsia="en-GB"/>
        </w:rPr>
      </w:pPr>
      <w:r w:rsidRPr="00861072">
        <w:rPr>
          <w:lang w:val="fr-FR" w:eastAsia="en-GB"/>
        </w:rPr>
        <w:t>a)  Sur l</w:t>
      </w:r>
      <w:r w:rsidR="00861072" w:rsidRPr="00861072">
        <w:rPr>
          <w:lang w:val="fr-FR" w:eastAsia="en-GB"/>
        </w:rPr>
        <w:t>’</w:t>
      </w:r>
      <w:r w:rsidRPr="00861072">
        <w:rPr>
          <w:lang w:val="fr-FR" w:eastAsia="en-GB"/>
        </w:rPr>
        <w:t>existence d</w:t>
      </w:r>
      <w:r w:rsidR="00861072" w:rsidRPr="00861072">
        <w:rPr>
          <w:lang w:val="fr-FR" w:eastAsia="en-GB"/>
        </w:rPr>
        <w:t>’</w:t>
      </w:r>
      <w:r w:rsidRPr="00861072">
        <w:rPr>
          <w:lang w:val="fr-FR" w:eastAsia="en-GB"/>
        </w:rPr>
        <w:t>une ingérence</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34</w:t>
      </w:r>
      <w:r w:rsidRPr="00861072">
        <w:rPr>
          <w:lang w:val="fr-FR" w:eastAsia="en-GB"/>
        </w:rPr>
        <w:fldChar w:fldCharType="end"/>
      </w:r>
      <w:r w:rsidRPr="00861072">
        <w:rPr>
          <w:lang w:val="fr-FR" w:eastAsia="en-GB"/>
        </w:rPr>
        <w:t>.  </w:t>
      </w:r>
      <w:proofErr w:type="gramStart"/>
      <w:r w:rsidRPr="00861072">
        <w:rPr>
          <w:lang w:val="fr-FR" w:eastAsia="en-GB"/>
        </w:rPr>
        <w:t>La Cour renvoie à sa jurisprudence constante relative à la structure de l</w:t>
      </w:r>
      <w:r w:rsidR="00861072" w:rsidRPr="00861072">
        <w:rPr>
          <w:lang w:val="fr-FR" w:eastAsia="en-GB"/>
        </w:rPr>
        <w:t>’</w:t>
      </w:r>
      <w:r w:rsidRPr="00861072">
        <w:rPr>
          <w:lang w:val="fr-FR" w:eastAsia="en-GB"/>
        </w:rPr>
        <w:t>article 1 du Protocole n</w:t>
      </w:r>
      <w:r w:rsidRPr="00861072">
        <w:rPr>
          <w:vertAlign w:val="superscript"/>
          <w:lang w:val="fr-FR" w:eastAsia="en-GB"/>
        </w:rPr>
        <w:t>o</w:t>
      </w:r>
      <w:r w:rsidRPr="00861072">
        <w:rPr>
          <w:lang w:val="fr-FR" w:eastAsia="en-GB"/>
        </w:rPr>
        <w:t xml:space="preserve"> 1 à la Convention et aux trois normes distinctes que cette disposition contient (voir, parmi beaucoup d</w:t>
      </w:r>
      <w:r w:rsidR="00861072" w:rsidRPr="00861072">
        <w:rPr>
          <w:lang w:val="fr-FR" w:eastAsia="en-GB"/>
        </w:rPr>
        <w:t>’</w:t>
      </w:r>
      <w:r w:rsidRPr="00861072">
        <w:rPr>
          <w:lang w:val="fr-FR" w:eastAsia="en-GB"/>
        </w:rPr>
        <w:t xml:space="preserve">autres, </w:t>
      </w:r>
      <w:proofErr w:type="spellStart"/>
      <w:r w:rsidRPr="00861072">
        <w:rPr>
          <w:i/>
          <w:lang w:val="fr-FR" w:eastAsia="en-GB"/>
        </w:rPr>
        <w:t>Sporrong</w:t>
      </w:r>
      <w:proofErr w:type="spellEnd"/>
      <w:r w:rsidRPr="00861072">
        <w:rPr>
          <w:i/>
          <w:lang w:val="fr-FR" w:eastAsia="en-GB"/>
        </w:rPr>
        <w:t xml:space="preserve"> et </w:t>
      </w:r>
      <w:proofErr w:type="spellStart"/>
      <w:r w:rsidRPr="00861072">
        <w:rPr>
          <w:i/>
          <w:lang w:val="fr-FR" w:eastAsia="en-GB"/>
        </w:rPr>
        <w:t>Lönnroth</w:t>
      </w:r>
      <w:proofErr w:type="spellEnd"/>
      <w:r w:rsidRPr="00861072">
        <w:rPr>
          <w:i/>
          <w:lang w:val="fr-FR" w:eastAsia="en-GB"/>
        </w:rPr>
        <w:t xml:space="preserve"> c. Suède</w:t>
      </w:r>
      <w:r w:rsidRPr="00861072">
        <w:rPr>
          <w:lang w:val="fr-FR" w:eastAsia="en-GB"/>
        </w:rPr>
        <w:t>, 23 septembre 1982, § 61, série A n</w:t>
      </w:r>
      <w:r w:rsidRPr="00861072">
        <w:rPr>
          <w:vertAlign w:val="superscript"/>
          <w:lang w:val="fr-FR" w:eastAsia="en-GB"/>
        </w:rPr>
        <w:t>o</w:t>
      </w:r>
      <w:r w:rsidRPr="00861072">
        <w:rPr>
          <w:lang w:val="fr-FR" w:eastAsia="en-GB"/>
        </w:rPr>
        <w:t xml:space="preserve"> 52, </w:t>
      </w:r>
      <w:proofErr w:type="spellStart"/>
      <w:r w:rsidRPr="00861072">
        <w:rPr>
          <w:i/>
          <w:lang w:val="fr-FR" w:eastAsia="en-GB"/>
        </w:rPr>
        <w:t>Iatridis</w:t>
      </w:r>
      <w:proofErr w:type="spellEnd"/>
      <w:r w:rsidRPr="00861072">
        <w:rPr>
          <w:i/>
          <w:lang w:val="fr-FR" w:eastAsia="en-GB"/>
        </w:rPr>
        <w:t xml:space="preserve"> c. Grèce</w:t>
      </w:r>
      <w:r w:rsidRPr="00861072">
        <w:rPr>
          <w:lang w:val="fr-FR" w:eastAsia="en-GB"/>
        </w:rPr>
        <w:t xml:space="preserve"> [GC], n</w:t>
      </w:r>
      <w:r w:rsidRPr="00861072">
        <w:rPr>
          <w:vertAlign w:val="superscript"/>
          <w:lang w:val="fr-FR" w:eastAsia="en-GB"/>
        </w:rPr>
        <w:t>o</w:t>
      </w:r>
      <w:r w:rsidRPr="00861072">
        <w:rPr>
          <w:lang w:val="fr-FR" w:eastAsia="en-GB"/>
        </w:rPr>
        <w:t xml:space="preserve"> 31107/96, § 55, CEDH 1999 II, </w:t>
      </w:r>
      <w:proofErr w:type="spellStart"/>
      <w:r w:rsidRPr="00861072">
        <w:rPr>
          <w:i/>
          <w:lang w:val="fr-FR" w:eastAsia="en-GB"/>
        </w:rPr>
        <w:t>Immobiliare</w:t>
      </w:r>
      <w:proofErr w:type="spellEnd"/>
      <w:r w:rsidRPr="00861072">
        <w:rPr>
          <w:i/>
          <w:lang w:val="fr-FR" w:eastAsia="en-GB"/>
        </w:rPr>
        <w:t xml:space="preserve"> </w:t>
      </w:r>
      <w:proofErr w:type="spellStart"/>
      <w:r w:rsidRPr="00861072">
        <w:rPr>
          <w:i/>
          <w:lang w:val="fr-FR" w:eastAsia="en-GB"/>
        </w:rPr>
        <w:t>Saffi</w:t>
      </w:r>
      <w:proofErr w:type="spellEnd"/>
      <w:r w:rsidRPr="00861072">
        <w:rPr>
          <w:i/>
          <w:lang w:val="fr-FR" w:eastAsia="en-GB"/>
        </w:rPr>
        <w:t xml:space="preserve"> c. Italie</w:t>
      </w:r>
      <w:r w:rsidRPr="00861072">
        <w:rPr>
          <w:lang w:val="fr-FR" w:eastAsia="en-GB"/>
        </w:rPr>
        <w:t xml:space="preserve"> [GC], n</w:t>
      </w:r>
      <w:r w:rsidRPr="00861072">
        <w:rPr>
          <w:vertAlign w:val="superscript"/>
          <w:lang w:val="fr-FR" w:eastAsia="en-GB"/>
        </w:rPr>
        <w:t>o </w:t>
      </w:r>
      <w:r w:rsidRPr="00861072">
        <w:rPr>
          <w:lang w:val="fr-FR" w:eastAsia="en-GB"/>
        </w:rPr>
        <w:t>22774/93, § 44, CEDH 1999</w:t>
      </w:r>
      <w:r w:rsidR="003157F2" w:rsidRPr="00861072">
        <w:rPr>
          <w:lang w:val="fr-FR" w:eastAsia="en-GB"/>
        </w:rPr>
        <w:t>-</w:t>
      </w:r>
      <w:r w:rsidRPr="00861072">
        <w:rPr>
          <w:lang w:val="fr-FR" w:eastAsia="en-GB"/>
        </w:rPr>
        <w:t xml:space="preserve">V, </w:t>
      </w:r>
      <w:proofErr w:type="spellStart"/>
      <w:r w:rsidRPr="00861072">
        <w:rPr>
          <w:i/>
          <w:lang w:val="fr-FR" w:eastAsia="en-GB"/>
        </w:rPr>
        <w:t>Broniowski</w:t>
      </w:r>
      <w:proofErr w:type="spellEnd"/>
      <w:r w:rsidRPr="00861072">
        <w:rPr>
          <w:i/>
          <w:lang w:val="fr-FR" w:eastAsia="en-GB"/>
        </w:rPr>
        <w:t xml:space="preserve"> c. Pologne</w:t>
      </w:r>
      <w:r w:rsidRPr="00861072">
        <w:rPr>
          <w:lang w:val="fr-FR" w:eastAsia="en-GB"/>
        </w:rPr>
        <w:t xml:space="preserve"> [GC], n</w:t>
      </w:r>
      <w:r w:rsidRPr="00861072">
        <w:rPr>
          <w:vertAlign w:val="superscript"/>
          <w:lang w:val="fr-FR" w:eastAsia="en-GB"/>
        </w:rPr>
        <w:t>o </w:t>
      </w:r>
      <w:r w:rsidRPr="00861072">
        <w:rPr>
          <w:lang w:val="fr-FR" w:eastAsia="en-GB"/>
        </w:rPr>
        <w:t>31443/96, § 134, CEDH 2004</w:t>
      </w:r>
      <w:r w:rsidR="003157F2" w:rsidRPr="00861072">
        <w:rPr>
          <w:lang w:val="fr-FR" w:eastAsia="en-GB"/>
        </w:rPr>
        <w:t>-</w:t>
      </w:r>
      <w:r w:rsidRPr="00861072">
        <w:rPr>
          <w:lang w:val="fr-FR" w:eastAsia="en-GB"/>
        </w:rPr>
        <w:t xml:space="preserve">V, et </w:t>
      </w:r>
      <w:proofErr w:type="spellStart"/>
      <w:r w:rsidRPr="00861072">
        <w:rPr>
          <w:i/>
          <w:lang w:val="fr-FR" w:eastAsia="en-GB"/>
        </w:rPr>
        <w:t>Vistiņš</w:t>
      </w:r>
      <w:proofErr w:type="spellEnd"/>
      <w:r w:rsidRPr="00861072">
        <w:rPr>
          <w:i/>
          <w:lang w:val="fr-FR" w:eastAsia="en-GB"/>
        </w:rPr>
        <w:t xml:space="preserve"> et </w:t>
      </w:r>
      <w:proofErr w:type="spellStart"/>
      <w:r w:rsidRPr="00861072">
        <w:rPr>
          <w:i/>
          <w:lang w:val="fr-FR" w:eastAsia="en-GB"/>
        </w:rPr>
        <w:t>Perepjolkins</w:t>
      </w:r>
      <w:proofErr w:type="spellEnd"/>
      <w:r w:rsidRPr="00861072">
        <w:rPr>
          <w:i/>
          <w:lang w:val="fr-FR" w:eastAsia="en-GB"/>
        </w:rPr>
        <w:t xml:space="preserve"> c</w:t>
      </w:r>
      <w:r w:rsidR="000409AD" w:rsidRPr="00861072">
        <w:rPr>
          <w:i/>
          <w:lang w:val="fr-FR" w:eastAsia="en-GB"/>
        </w:rPr>
        <w:t>. </w:t>
      </w:r>
      <w:r w:rsidRPr="00861072">
        <w:rPr>
          <w:i/>
          <w:lang w:val="fr-FR" w:eastAsia="en-GB"/>
        </w:rPr>
        <w:t>Lettonie</w:t>
      </w:r>
      <w:r w:rsidRPr="00861072">
        <w:rPr>
          <w:lang w:val="fr-FR" w:eastAsia="en-GB"/>
        </w:rPr>
        <w:t xml:space="preserve"> [GC], n</w:t>
      </w:r>
      <w:r w:rsidRPr="00861072">
        <w:rPr>
          <w:vertAlign w:val="superscript"/>
          <w:lang w:val="fr-FR" w:eastAsia="en-GB"/>
        </w:rPr>
        <w:t>o</w:t>
      </w:r>
      <w:r w:rsidRPr="00861072">
        <w:rPr>
          <w:lang w:val="fr-FR" w:eastAsia="en-GB"/>
        </w:rPr>
        <w:t xml:space="preserve"> 71243/01, § 93, 25 octobre 2012).</w:t>
      </w:r>
      <w:proofErr w:type="gramEnd"/>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35</w:t>
      </w:r>
      <w:r w:rsidRPr="00861072">
        <w:rPr>
          <w:lang w:val="fr-FR" w:eastAsia="en-GB"/>
        </w:rPr>
        <w:fldChar w:fldCharType="end"/>
      </w:r>
      <w:r w:rsidRPr="00861072">
        <w:rPr>
          <w:lang w:val="fr-FR" w:eastAsia="en-GB"/>
        </w:rPr>
        <w:t>.  </w:t>
      </w:r>
      <w:r w:rsidR="000409AD" w:rsidRPr="00861072">
        <w:rPr>
          <w:lang w:val="fr-FR" w:eastAsia="en-GB"/>
        </w:rPr>
        <w:t>Elle</w:t>
      </w:r>
      <w:r w:rsidRPr="00861072">
        <w:rPr>
          <w:lang w:val="fr-FR" w:eastAsia="en-GB"/>
        </w:rPr>
        <w:t xml:space="preserve"> constate que les parties s</w:t>
      </w:r>
      <w:r w:rsidR="00861072" w:rsidRPr="00861072">
        <w:rPr>
          <w:lang w:val="fr-FR" w:eastAsia="en-GB"/>
        </w:rPr>
        <w:t>’</w:t>
      </w:r>
      <w:r w:rsidRPr="00861072">
        <w:rPr>
          <w:lang w:val="fr-FR" w:eastAsia="en-GB"/>
        </w:rPr>
        <w:t>accordent pour dire qu</w:t>
      </w:r>
      <w:r w:rsidR="00861072" w:rsidRPr="00861072">
        <w:rPr>
          <w:lang w:val="fr-FR" w:eastAsia="en-GB"/>
        </w:rPr>
        <w:t>’</w:t>
      </w:r>
      <w:r w:rsidRPr="00861072">
        <w:rPr>
          <w:lang w:val="fr-FR" w:eastAsia="en-GB"/>
        </w:rPr>
        <w:t>il y a eu une privation de propriété au sens de la deuxième phrase du premier alinéa de l</w:t>
      </w:r>
      <w:r w:rsidR="00861072" w:rsidRPr="00861072">
        <w:rPr>
          <w:lang w:val="fr-FR" w:eastAsia="en-GB"/>
        </w:rPr>
        <w:t>’</w:t>
      </w:r>
      <w:r w:rsidRPr="00861072">
        <w:rPr>
          <w:lang w:val="fr-FR" w:eastAsia="en-GB"/>
        </w:rPr>
        <w:t>article 1 du Protocole n</w:t>
      </w:r>
      <w:r w:rsidRPr="00861072">
        <w:rPr>
          <w:vertAlign w:val="superscript"/>
          <w:lang w:val="fr-FR" w:eastAsia="en-GB"/>
        </w:rPr>
        <w:t>o</w:t>
      </w:r>
      <w:r w:rsidRPr="00861072">
        <w:rPr>
          <w:lang w:val="fr-FR" w:eastAsia="en-GB"/>
        </w:rPr>
        <w:t xml:space="preserve"> 1.</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36</w:t>
      </w:r>
      <w:r w:rsidRPr="00861072">
        <w:rPr>
          <w:lang w:val="fr-FR" w:eastAsia="en-GB"/>
        </w:rPr>
        <w:fldChar w:fldCharType="end"/>
      </w:r>
      <w:r w:rsidRPr="00861072">
        <w:rPr>
          <w:lang w:val="fr-FR" w:eastAsia="en-GB"/>
        </w:rPr>
        <w:t>.  </w:t>
      </w:r>
      <w:r w:rsidR="00C55719" w:rsidRPr="00861072">
        <w:rPr>
          <w:lang w:val="fr-FR" w:eastAsia="en-GB"/>
        </w:rPr>
        <w:t>Elle</w:t>
      </w:r>
      <w:r w:rsidRPr="00861072">
        <w:rPr>
          <w:lang w:val="fr-FR" w:eastAsia="en-GB"/>
        </w:rPr>
        <w:t xml:space="preserve"> doit donc rechercher si la privation dénoncée se justifie sous l</w:t>
      </w:r>
      <w:r w:rsidR="00861072" w:rsidRPr="00861072">
        <w:rPr>
          <w:lang w:val="fr-FR" w:eastAsia="en-GB"/>
        </w:rPr>
        <w:t>’</w:t>
      </w:r>
      <w:r w:rsidRPr="00861072">
        <w:rPr>
          <w:lang w:val="fr-FR" w:eastAsia="en-GB"/>
        </w:rPr>
        <w:t>angle de cette disposition.</w:t>
      </w:r>
    </w:p>
    <w:p w:rsidR="003F4338" w:rsidRPr="00861072" w:rsidRDefault="003F4338" w:rsidP="00861072">
      <w:pPr>
        <w:pStyle w:val="ECHRHeading4"/>
        <w:rPr>
          <w:lang w:val="fr-FR" w:eastAsia="en-GB"/>
        </w:rPr>
      </w:pPr>
      <w:r w:rsidRPr="00861072">
        <w:rPr>
          <w:lang w:val="fr-FR" w:eastAsia="en-GB"/>
        </w:rPr>
        <w:lastRenderedPageBreak/>
        <w:t>b)  Sur le respect du principe de légalité</w:t>
      </w:r>
    </w:p>
    <w:p w:rsidR="00212D91"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37</w:t>
      </w:r>
      <w:r w:rsidRPr="00861072">
        <w:rPr>
          <w:lang w:val="fr-FR" w:eastAsia="en-GB"/>
        </w:rPr>
        <w:fldChar w:fldCharType="end"/>
      </w:r>
      <w:r w:rsidRPr="00861072">
        <w:rPr>
          <w:lang w:val="fr-FR" w:eastAsia="en-GB"/>
        </w:rPr>
        <w:t>.  La Cour rappelle que l</w:t>
      </w:r>
      <w:r w:rsidR="00861072" w:rsidRPr="00861072">
        <w:rPr>
          <w:lang w:val="fr-FR" w:eastAsia="en-GB"/>
        </w:rPr>
        <w:t>’</w:t>
      </w:r>
      <w:r w:rsidRPr="00861072">
        <w:rPr>
          <w:lang w:val="fr-FR" w:eastAsia="en-GB"/>
        </w:rPr>
        <w:t>article 1 du Protocole n</w:t>
      </w:r>
      <w:r w:rsidRPr="00861072">
        <w:rPr>
          <w:vertAlign w:val="superscript"/>
          <w:lang w:val="fr-FR" w:eastAsia="en-GB"/>
        </w:rPr>
        <w:t>o</w:t>
      </w:r>
      <w:r w:rsidRPr="00861072">
        <w:rPr>
          <w:lang w:val="fr-FR" w:eastAsia="en-GB"/>
        </w:rPr>
        <w:t xml:space="preserve"> 1 exige, avant tout et surtout, qu</w:t>
      </w:r>
      <w:r w:rsidR="00861072" w:rsidRPr="00861072">
        <w:rPr>
          <w:lang w:val="fr-FR" w:eastAsia="en-GB"/>
        </w:rPr>
        <w:t>’</w:t>
      </w:r>
      <w:r w:rsidRPr="00861072">
        <w:rPr>
          <w:lang w:val="fr-FR" w:eastAsia="en-GB"/>
        </w:rPr>
        <w:t>une ingérence de l</w:t>
      </w:r>
      <w:r w:rsidR="00861072" w:rsidRPr="00861072">
        <w:rPr>
          <w:lang w:val="fr-FR" w:eastAsia="en-GB"/>
        </w:rPr>
        <w:t>’</w:t>
      </w:r>
      <w:r w:rsidRPr="00861072">
        <w:rPr>
          <w:lang w:val="fr-FR" w:eastAsia="en-GB"/>
        </w:rPr>
        <w:t>autorité publique dans la jouissance du droit au respect de</w:t>
      </w:r>
      <w:r w:rsidR="000409AD" w:rsidRPr="00861072">
        <w:rPr>
          <w:lang w:val="fr-FR" w:eastAsia="en-GB"/>
        </w:rPr>
        <w:t>s</w:t>
      </w:r>
      <w:r w:rsidRPr="00861072">
        <w:rPr>
          <w:lang w:val="fr-FR" w:eastAsia="en-GB"/>
        </w:rPr>
        <w:t xml:space="preserve"> biens soit légale : la seconde phrase du premier alinéa de cet article n</w:t>
      </w:r>
      <w:r w:rsidR="00861072" w:rsidRPr="00861072">
        <w:rPr>
          <w:lang w:val="fr-FR" w:eastAsia="en-GB"/>
        </w:rPr>
        <w:t>’</w:t>
      </w:r>
      <w:r w:rsidRPr="00861072">
        <w:rPr>
          <w:lang w:val="fr-FR" w:eastAsia="en-GB"/>
        </w:rPr>
        <w:t>autorise une privation de propriété que « dans les conditions prévues par la loi » ; le second alinéa reconnaît aux États le droit de réglementer l</w:t>
      </w:r>
      <w:r w:rsidR="00861072" w:rsidRPr="00861072">
        <w:rPr>
          <w:lang w:val="fr-FR" w:eastAsia="en-GB"/>
        </w:rPr>
        <w:t>’</w:t>
      </w:r>
      <w:r w:rsidRPr="00861072">
        <w:rPr>
          <w:lang w:val="fr-FR" w:eastAsia="en-GB"/>
        </w:rPr>
        <w:t>usage des biens en mettant en vigueur des « lois ». De plus, la prééminence du droit, l</w:t>
      </w:r>
      <w:r w:rsidR="00861072" w:rsidRPr="00861072">
        <w:rPr>
          <w:lang w:val="fr-FR" w:eastAsia="en-GB"/>
        </w:rPr>
        <w:t>’</w:t>
      </w:r>
      <w:r w:rsidRPr="00861072">
        <w:rPr>
          <w:lang w:val="fr-FR" w:eastAsia="en-GB"/>
        </w:rPr>
        <w:t>un des principes fondamentaux d</w:t>
      </w:r>
      <w:r w:rsidR="00861072" w:rsidRPr="00861072">
        <w:rPr>
          <w:lang w:val="fr-FR" w:eastAsia="en-GB"/>
        </w:rPr>
        <w:t>’</w:t>
      </w:r>
      <w:r w:rsidRPr="00861072">
        <w:rPr>
          <w:lang w:val="fr-FR" w:eastAsia="en-GB"/>
        </w:rPr>
        <w:t>une société démocratique, est inhérente à l</w:t>
      </w:r>
      <w:r w:rsidR="00861072" w:rsidRPr="00861072">
        <w:rPr>
          <w:lang w:val="fr-FR" w:eastAsia="en-GB"/>
        </w:rPr>
        <w:t>’</w:t>
      </w:r>
      <w:r w:rsidRPr="00861072">
        <w:rPr>
          <w:lang w:val="fr-FR" w:eastAsia="en-GB"/>
        </w:rPr>
        <w:t>ensemble des articles de la Convention (</w:t>
      </w:r>
      <w:proofErr w:type="spellStart"/>
      <w:r w:rsidRPr="00861072">
        <w:rPr>
          <w:i/>
          <w:lang w:val="fr-FR" w:eastAsia="en-GB"/>
        </w:rPr>
        <w:t>Amuur</w:t>
      </w:r>
      <w:proofErr w:type="spellEnd"/>
      <w:r w:rsidRPr="00861072">
        <w:rPr>
          <w:i/>
          <w:lang w:val="fr-FR" w:eastAsia="en-GB"/>
        </w:rPr>
        <w:t xml:space="preserve"> c. France</w:t>
      </w:r>
      <w:r w:rsidRPr="00861072">
        <w:rPr>
          <w:lang w:val="fr-FR" w:eastAsia="en-GB"/>
        </w:rPr>
        <w:t xml:space="preserve">, 25 juin 1996, § 50, </w:t>
      </w:r>
      <w:r w:rsidRPr="00861072">
        <w:rPr>
          <w:i/>
          <w:lang w:val="fr-FR" w:eastAsia="en-GB"/>
        </w:rPr>
        <w:t>Recueil des arrêts et décisions</w:t>
      </w:r>
      <w:r w:rsidRPr="00861072">
        <w:rPr>
          <w:lang w:val="fr-FR" w:eastAsia="en-GB"/>
        </w:rPr>
        <w:t xml:space="preserve"> 1996</w:t>
      </w:r>
      <w:r w:rsidR="00C55719" w:rsidRPr="00861072">
        <w:rPr>
          <w:lang w:val="fr-FR" w:eastAsia="en-GB"/>
        </w:rPr>
        <w:t>-</w:t>
      </w:r>
      <w:r w:rsidRPr="00861072">
        <w:rPr>
          <w:lang w:val="fr-FR" w:eastAsia="en-GB"/>
        </w:rPr>
        <w:t>III</w:t>
      </w:r>
      <w:r w:rsidRPr="00861072">
        <w:rPr>
          <w:i/>
          <w:lang w:val="fr-FR" w:eastAsia="en-GB"/>
        </w:rPr>
        <w:t xml:space="preserve">, </w:t>
      </w:r>
      <w:r w:rsidR="00957A9D" w:rsidRPr="00861072">
        <w:rPr>
          <w:lang w:val="fr-FR" w:eastAsia="en-GB"/>
        </w:rPr>
        <w:t>et</w:t>
      </w:r>
      <w:r w:rsidR="00957A9D" w:rsidRPr="00861072">
        <w:rPr>
          <w:i/>
          <w:lang w:val="fr-FR" w:eastAsia="en-GB"/>
        </w:rPr>
        <w:t xml:space="preserve"> </w:t>
      </w:r>
      <w:proofErr w:type="spellStart"/>
      <w:r w:rsidRPr="00861072">
        <w:rPr>
          <w:i/>
          <w:lang w:val="fr-FR" w:eastAsia="en-GB"/>
        </w:rPr>
        <w:t>Iatridis</w:t>
      </w:r>
      <w:proofErr w:type="spellEnd"/>
      <w:r w:rsidRPr="00861072">
        <w:rPr>
          <w:lang w:val="fr-FR" w:eastAsia="en-GB"/>
        </w:rPr>
        <w:t xml:space="preserve"> [GC], précité, § 58).</w:t>
      </w:r>
    </w:p>
    <w:p w:rsidR="00212D91"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38</w:t>
      </w:r>
      <w:r w:rsidRPr="00861072">
        <w:rPr>
          <w:lang w:val="fr-FR" w:eastAsia="en-GB"/>
        </w:rPr>
        <w:fldChar w:fldCharType="end"/>
      </w:r>
      <w:r w:rsidRPr="00861072">
        <w:rPr>
          <w:lang w:val="fr-FR" w:eastAsia="en-GB"/>
        </w:rPr>
        <w:t>.  </w:t>
      </w:r>
      <w:r w:rsidR="00C55719" w:rsidRPr="00861072">
        <w:rPr>
          <w:lang w:val="fr-FR" w:eastAsia="en-GB"/>
        </w:rPr>
        <w:t>La Cour</w:t>
      </w:r>
      <w:r w:rsidRPr="00861072">
        <w:rPr>
          <w:lang w:val="fr-FR" w:eastAsia="en-GB"/>
        </w:rPr>
        <w:t xml:space="preserve"> renvoie ensuite à sa jurisprudence en matière d</w:t>
      </w:r>
      <w:r w:rsidR="00861072" w:rsidRPr="00861072">
        <w:rPr>
          <w:lang w:val="fr-FR" w:eastAsia="en-GB"/>
        </w:rPr>
        <w:t>’</w:t>
      </w:r>
      <w:r w:rsidRPr="00861072">
        <w:rPr>
          <w:lang w:val="fr-FR" w:eastAsia="en-GB"/>
        </w:rPr>
        <w:t xml:space="preserve">expropriation </w:t>
      </w:r>
      <w:bookmarkStart w:id="7" w:name="HIT16"/>
      <w:bookmarkEnd w:id="7"/>
      <w:r w:rsidRPr="00861072">
        <w:rPr>
          <w:lang w:val="fr-FR" w:eastAsia="en-GB"/>
        </w:rPr>
        <w:t xml:space="preserve">indirecte (voir, </w:t>
      </w:r>
      <w:r w:rsidR="009C1EFA" w:rsidRPr="00861072">
        <w:rPr>
          <w:lang w:val="fr-FR" w:eastAsia="en-GB"/>
        </w:rPr>
        <w:t xml:space="preserve">entre </w:t>
      </w:r>
      <w:r w:rsidRPr="00861072">
        <w:rPr>
          <w:lang w:val="fr-FR" w:eastAsia="en-GB"/>
        </w:rPr>
        <w:t xml:space="preserve">autres, </w:t>
      </w:r>
      <w:proofErr w:type="spellStart"/>
      <w:r w:rsidRPr="00861072">
        <w:rPr>
          <w:i/>
          <w:iCs/>
          <w:lang w:val="fr-FR" w:eastAsia="en-GB"/>
        </w:rPr>
        <w:t>Belvedere</w:t>
      </w:r>
      <w:proofErr w:type="spellEnd"/>
      <w:r w:rsidRPr="00861072">
        <w:rPr>
          <w:i/>
          <w:iCs/>
          <w:lang w:val="fr-FR" w:eastAsia="en-GB"/>
        </w:rPr>
        <w:t xml:space="preserve"> </w:t>
      </w:r>
      <w:proofErr w:type="spellStart"/>
      <w:r w:rsidRPr="00861072">
        <w:rPr>
          <w:i/>
          <w:iCs/>
          <w:lang w:val="fr-FR" w:eastAsia="en-GB"/>
        </w:rPr>
        <w:t>Alberghiera</w:t>
      </w:r>
      <w:proofErr w:type="spellEnd"/>
      <w:r w:rsidRPr="00861072">
        <w:rPr>
          <w:i/>
          <w:iCs/>
          <w:lang w:val="fr-FR" w:eastAsia="en-GB"/>
        </w:rPr>
        <w:t xml:space="preserve"> </w:t>
      </w:r>
      <w:proofErr w:type="spellStart"/>
      <w:r w:rsidRPr="00861072">
        <w:rPr>
          <w:i/>
          <w:iCs/>
          <w:lang w:val="fr-FR" w:eastAsia="en-GB"/>
        </w:rPr>
        <w:t>S.r.l</w:t>
      </w:r>
      <w:proofErr w:type="spellEnd"/>
      <w:r w:rsidRPr="00861072">
        <w:rPr>
          <w:i/>
          <w:iCs/>
          <w:lang w:val="fr-FR" w:eastAsia="en-GB"/>
        </w:rPr>
        <w:t>. c.</w:t>
      </w:r>
      <w:r w:rsidR="00EF05E3" w:rsidRPr="00861072">
        <w:rPr>
          <w:i/>
          <w:iCs/>
          <w:lang w:val="fr-FR" w:eastAsia="en-GB"/>
        </w:rPr>
        <w:t> </w:t>
      </w:r>
      <w:r w:rsidRPr="00861072">
        <w:rPr>
          <w:i/>
          <w:iCs/>
          <w:lang w:val="fr-FR" w:eastAsia="en-GB"/>
        </w:rPr>
        <w:t>Italie</w:t>
      </w:r>
      <w:r w:rsidRPr="00861072">
        <w:rPr>
          <w:lang w:val="fr-FR" w:eastAsia="en-GB"/>
        </w:rPr>
        <w:t>, n</w:t>
      </w:r>
      <w:r w:rsidRPr="00861072">
        <w:rPr>
          <w:vertAlign w:val="superscript"/>
          <w:lang w:val="fr-FR" w:eastAsia="en-GB"/>
        </w:rPr>
        <w:t>o </w:t>
      </w:r>
      <w:r w:rsidRPr="00861072">
        <w:rPr>
          <w:lang w:val="fr-FR" w:eastAsia="en-GB"/>
        </w:rPr>
        <w:t>31524/96, CEDH 2000-VI</w:t>
      </w:r>
      <w:r w:rsidR="00EF05E3" w:rsidRPr="00861072">
        <w:rPr>
          <w:lang w:val="fr-FR" w:eastAsia="en-GB"/>
        </w:rPr>
        <w:t>,</w:t>
      </w:r>
      <w:r w:rsidRPr="00861072">
        <w:rPr>
          <w:lang w:val="fr-FR" w:eastAsia="en-GB"/>
        </w:rPr>
        <w:t xml:space="preserve"> </w:t>
      </w:r>
      <w:proofErr w:type="spellStart"/>
      <w:r w:rsidRPr="00861072">
        <w:rPr>
          <w:i/>
          <w:iCs/>
          <w:lang w:val="fr-FR" w:eastAsia="en-GB"/>
        </w:rPr>
        <w:t>Scordino</w:t>
      </w:r>
      <w:proofErr w:type="spellEnd"/>
      <w:r w:rsidRPr="00861072">
        <w:rPr>
          <w:i/>
          <w:iCs/>
          <w:lang w:val="fr-FR" w:eastAsia="en-GB"/>
        </w:rPr>
        <w:t xml:space="preserve"> c. Italie (n</w:t>
      </w:r>
      <w:r w:rsidRPr="00861072">
        <w:rPr>
          <w:i/>
          <w:iCs/>
          <w:vertAlign w:val="superscript"/>
          <w:lang w:val="fr-FR" w:eastAsia="en-GB"/>
        </w:rPr>
        <w:t>o</w:t>
      </w:r>
      <w:r w:rsidRPr="00861072">
        <w:rPr>
          <w:i/>
          <w:iCs/>
          <w:lang w:val="fr-FR" w:eastAsia="en-GB"/>
        </w:rPr>
        <w:t xml:space="preserve"> 3)</w:t>
      </w:r>
      <w:r w:rsidRPr="00861072">
        <w:rPr>
          <w:lang w:val="fr-FR" w:eastAsia="en-GB"/>
        </w:rPr>
        <w:t>, n</w:t>
      </w:r>
      <w:r w:rsidRPr="00861072">
        <w:rPr>
          <w:vertAlign w:val="superscript"/>
          <w:lang w:val="fr-FR" w:eastAsia="en-GB"/>
        </w:rPr>
        <w:t>o </w:t>
      </w:r>
      <w:r w:rsidRPr="00861072">
        <w:rPr>
          <w:lang w:val="fr-FR" w:eastAsia="en-GB"/>
        </w:rPr>
        <w:t xml:space="preserve">43662/98, 17 mai 2005, et </w:t>
      </w:r>
      <w:proofErr w:type="spellStart"/>
      <w:r w:rsidRPr="00861072">
        <w:rPr>
          <w:i/>
          <w:iCs/>
          <w:lang w:val="fr-FR" w:eastAsia="en-GB"/>
        </w:rPr>
        <w:t>Velocci</w:t>
      </w:r>
      <w:proofErr w:type="spellEnd"/>
      <w:r w:rsidRPr="00861072">
        <w:rPr>
          <w:i/>
          <w:iCs/>
          <w:lang w:val="fr-FR" w:eastAsia="en-GB"/>
        </w:rPr>
        <w:t xml:space="preserve"> c. Italie</w:t>
      </w:r>
      <w:r w:rsidRPr="00861072">
        <w:rPr>
          <w:lang w:val="fr-FR" w:eastAsia="en-GB"/>
        </w:rPr>
        <w:t>, n</w:t>
      </w:r>
      <w:r w:rsidRPr="00861072">
        <w:rPr>
          <w:vertAlign w:val="superscript"/>
          <w:lang w:val="fr-FR" w:eastAsia="en-GB"/>
        </w:rPr>
        <w:t>o</w:t>
      </w:r>
      <w:r w:rsidRPr="00861072">
        <w:rPr>
          <w:lang w:val="fr-FR" w:eastAsia="en-GB"/>
        </w:rPr>
        <w:t xml:space="preserve"> 1717/03, 18 mars 2008) pour une récapitulation des principes pertinents et pour un aperçu de sa jurisprudence, notamment en ce qui concerne la question du respect du principe de légalité dans </w:t>
      </w:r>
      <w:r w:rsidR="00EF05E3" w:rsidRPr="00861072">
        <w:rPr>
          <w:lang w:val="fr-FR" w:eastAsia="en-GB"/>
        </w:rPr>
        <w:t>ce type</w:t>
      </w:r>
      <w:r w:rsidRPr="00861072">
        <w:rPr>
          <w:lang w:val="fr-FR" w:eastAsia="en-GB"/>
        </w:rPr>
        <w:t xml:space="preserve"> d</w:t>
      </w:r>
      <w:r w:rsidR="00861072" w:rsidRPr="00861072">
        <w:rPr>
          <w:lang w:val="fr-FR" w:eastAsia="en-GB"/>
        </w:rPr>
        <w:t>’</w:t>
      </w:r>
      <w:r w:rsidRPr="00861072">
        <w:rPr>
          <w:lang w:val="fr-FR" w:eastAsia="en-GB"/>
        </w:rPr>
        <w:t>affaires.</w:t>
      </w:r>
    </w:p>
    <w:p w:rsidR="00E34E73"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39</w:t>
      </w:r>
      <w:r w:rsidRPr="00861072">
        <w:rPr>
          <w:lang w:val="fr-FR" w:eastAsia="en-GB"/>
        </w:rPr>
        <w:fldChar w:fldCharType="end"/>
      </w:r>
      <w:r w:rsidRPr="00861072">
        <w:rPr>
          <w:lang w:val="fr-FR" w:eastAsia="en-GB"/>
        </w:rPr>
        <w:t>.  </w:t>
      </w:r>
      <w:r w:rsidR="00EF05E3" w:rsidRPr="00861072">
        <w:rPr>
          <w:lang w:val="fr-FR" w:eastAsia="en-GB"/>
        </w:rPr>
        <w:t>En l</w:t>
      </w:r>
      <w:r w:rsidR="00861072" w:rsidRPr="00861072">
        <w:rPr>
          <w:lang w:val="fr-FR" w:eastAsia="en-GB"/>
        </w:rPr>
        <w:t>’</w:t>
      </w:r>
      <w:r w:rsidR="00EF05E3" w:rsidRPr="00861072">
        <w:rPr>
          <w:lang w:val="fr-FR" w:eastAsia="en-GB"/>
        </w:rPr>
        <w:t>espèce</w:t>
      </w:r>
      <w:r w:rsidRPr="00861072">
        <w:rPr>
          <w:lang w:val="fr-FR" w:eastAsia="en-GB"/>
        </w:rPr>
        <w:t>, la Cour relève qu</w:t>
      </w:r>
      <w:r w:rsidR="00EF05E3" w:rsidRPr="00861072">
        <w:rPr>
          <w:lang w:val="fr-FR" w:eastAsia="en-GB"/>
        </w:rPr>
        <w:t xml:space="preserve">e, </w:t>
      </w:r>
      <w:r w:rsidRPr="00861072">
        <w:rPr>
          <w:lang w:val="fr-FR" w:eastAsia="en-GB"/>
        </w:rPr>
        <w:t>en appliquant le principe de l</w:t>
      </w:r>
      <w:r w:rsidR="00861072" w:rsidRPr="00861072">
        <w:rPr>
          <w:lang w:val="fr-FR" w:eastAsia="en-GB"/>
        </w:rPr>
        <w:t>’</w:t>
      </w:r>
      <w:bookmarkStart w:id="8" w:name="HIT19"/>
      <w:bookmarkEnd w:id="8"/>
      <w:r w:rsidRPr="00861072">
        <w:rPr>
          <w:lang w:val="fr-FR" w:eastAsia="en-GB"/>
        </w:rPr>
        <w:t xml:space="preserve">expropriation </w:t>
      </w:r>
      <w:bookmarkStart w:id="9" w:name="HIT20"/>
      <w:bookmarkEnd w:id="9"/>
      <w:r w:rsidRPr="00861072">
        <w:rPr>
          <w:lang w:val="fr-FR" w:eastAsia="en-GB"/>
        </w:rPr>
        <w:t xml:space="preserve">indirecte, les juridictions internes ont considéré </w:t>
      </w:r>
      <w:r w:rsidR="00CB545A" w:rsidRPr="00861072">
        <w:rPr>
          <w:lang w:val="fr-FR" w:eastAsia="en-GB"/>
        </w:rPr>
        <w:t xml:space="preserve">que </w:t>
      </w:r>
      <w:r w:rsidRPr="00861072">
        <w:rPr>
          <w:lang w:val="fr-FR" w:eastAsia="en-GB"/>
        </w:rPr>
        <w:t xml:space="preserve">les requérants </w:t>
      </w:r>
      <w:r w:rsidR="00CB545A" w:rsidRPr="00861072">
        <w:rPr>
          <w:lang w:val="fr-FR" w:eastAsia="en-GB"/>
        </w:rPr>
        <w:t xml:space="preserve">avaient été </w:t>
      </w:r>
      <w:r w:rsidRPr="00861072">
        <w:rPr>
          <w:lang w:val="fr-FR" w:eastAsia="en-GB"/>
        </w:rPr>
        <w:t xml:space="preserve">privés de leur bien à compter de la date de </w:t>
      </w:r>
      <w:r w:rsidR="00845635" w:rsidRPr="00861072">
        <w:rPr>
          <w:lang w:val="fr-FR" w:eastAsia="en-GB"/>
        </w:rPr>
        <w:t>la transformation du terrain</w:t>
      </w:r>
      <w:r w:rsidRPr="00861072">
        <w:rPr>
          <w:lang w:val="fr-FR" w:eastAsia="en-GB"/>
        </w:rPr>
        <w:t>. Or, en l</w:t>
      </w:r>
      <w:r w:rsidR="00861072" w:rsidRPr="00861072">
        <w:rPr>
          <w:lang w:val="fr-FR" w:eastAsia="en-GB"/>
        </w:rPr>
        <w:t>’</w:t>
      </w:r>
      <w:r w:rsidRPr="00861072">
        <w:rPr>
          <w:lang w:val="fr-FR" w:eastAsia="en-GB"/>
        </w:rPr>
        <w:t>absence d</w:t>
      </w:r>
      <w:r w:rsidR="00861072" w:rsidRPr="00861072">
        <w:rPr>
          <w:lang w:val="fr-FR" w:eastAsia="en-GB"/>
        </w:rPr>
        <w:t>’</w:t>
      </w:r>
      <w:r w:rsidRPr="00861072">
        <w:rPr>
          <w:lang w:val="fr-FR" w:eastAsia="en-GB"/>
        </w:rPr>
        <w:t>un acte formel d</w:t>
      </w:r>
      <w:r w:rsidR="00861072" w:rsidRPr="00861072">
        <w:rPr>
          <w:lang w:val="fr-FR" w:eastAsia="en-GB"/>
        </w:rPr>
        <w:t>’</w:t>
      </w:r>
      <w:r w:rsidRPr="00861072">
        <w:rPr>
          <w:lang w:val="fr-FR" w:eastAsia="en-GB"/>
        </w:rPr>
        <w:t xml:space="preserve">expropriation, </w:t>
      </w:r>
      <w:r w:rsidR="00CB545A" w:rsidRPr="00861072">
        <w:rPr>
          <w:lang w:val="fr-FR" w:eastAsia="en-GB"/>
        </w:rPr>
        <w:t>elle</w:t>
      </w:r>
      <w:r w:rsidRPr="00861072">
        <w:rPr>
          <w:lang w:val="fr-FR" w:eastAsia="en-GB"/>
        </w:rPr>
        <w:t xml:space="preserve"> estime que </w:t>
      </w:r>
      <w:r w:rsidR="00A24924" w:rsidRPr="00861072">
        <w:rPr>
          <w:lang w:val="fr-FR" w:eastAsia="en-GB"/>
        </w:rPr>
        <w:t>la privation de propriété des requérants</w:t>
      </w:r>
      <w:r w:rsidR="00227BFD" w:rsidRPr="00861072">
        <w:rPr>
          <w:lang w:val="fr-FR" w:eastAsia="en-GB"/>
        </w:rPr>
        <w:t xml:space="preserve"> </w:t>
      </w:r>
      <w:r w:rsidRPr="00861072">
        <w:rPr>
          <w:lang w:val="fr-FR" w:eastAsia="en-GB"/>
        </w:rPr>
        <w:t xml:space="preserve">ne saurait être considérée comme </w:t>
      </w:r>
      <w:r w:rsidR="00A24924" w:rsidRPr="00861072">
        <w:rPr>
          <w:lang w:val="fr-FR" w:eastAsia="en-GB"/>
        </w:rPr>
        <w:t xml:space="preserve">ayant été </w:t>
      </w:r>
      <w:r w:rsidRPr="00861072">
        <w:rPr>
          <w:lang w:val="fr-FR" w:eastAsia="en-GB"/>
        </w:rPr>
        <w:t>« prévisible »</w:t>
      </w:r>
      <w:r w:rsidR="00694FF2" w:rsidRPr="00861072">
        <w:rPr>
          <w:lang w:val="fr-FR" w:eastAsia="en-GB"/>
        </w:rPr>
        <w:t>.</w:t>
      </w:r>
      <w:r w:rsidRPr="00861072">
        <w:rPr>
          <w:lang w:val="fr-FR" w:eastAsia="en-GB"/>
        </w:rPr>
        <w:t xml:space="preserve"> </w:t>
      </w:r>
      <w:r w:rsidR="00694FF2" w:rsidRPr="00861072">
        <w:rPr>
          <w:lang w:val="fr-FR" w:eastAsia="en-GB"/>
        </w:rPr>
        <w:t xml:space="preserve">En effet, </w:t>
      </w:r>
      <w:r w:rsidRPr="00861072">
        <w:rPr>
          <w:lang w:val="fr-FR" w:eastAsia="en-GB"/>
        </w:rPr>
        <w:t>ce n</w:t>
      </w:r>
      <w:r w:rsidR="00861072" w:rsidRPr="00861072">
        <w:rPr>
          <w:lang w:val="fr-FR" w:eastAsia="en-GB"/>
        </w:rPr>
        <w:t>’</w:t>
      </w:r>
      <w:r w:rsidRPr="00861072">
        <w:rPr>
          <w:lang w:val="fr-FR" w:eastAsia="en-GB"/>
        </w:rPr>
        <w:t xml:space="preserve">est que par la décision judiciaire </w:t>
      </w:r>
      <w:r w:rsidR="00694FF2" w:rsidRPr="00861072">
        <w:rPr>
          <w:lang w:val="fr-FR" w:eastAsia="en-GB"/>
        </w:rPr>
        <w:t xml:space="preserve">devenue </w:t>
      </w:r>
      <w:r w:rsidRPr="00861072">
        <w:rPr>
          <w:lang w:val="fr-FR" w:eastAsia="en-GB"/>
        </w:rPr>
        <w:t>définitive</w:t>
      </w:r>
      <w:r w:rsidR="00694FF2" w:rsidRPr="00861072">
        <w:rPr>
          <w:lang w:val="fr-FR" w:eastAsia="en-GB"/>
        </w:rPr>
        <w:t xml:space="preserve"> le 28 mai 2005</w:t>
      </w:r>
      <w:r w:rsidRPr="00861072">
        <w:rPr>
          <w:lang w:val="fr-FR" w:eastAsia="en-GB"/>
        </w:rPr>
        <w:t xml:space="preserve"> que le principe de l</w:t>
      </w:r>
      <w:r w:rsidR="00861072" w:rsidRPr="00861072">
        <w:rPr>
          <w:lang w:val="fr-FR" w:eastAsia="en-GB"/>
        </w:rPr>
        <w:t>’</w:t>
      </w:r>
      <w:bookmarkStart w:id="10" w:name="HIT21"/>
      <w:bookmarkEnd w:id="10"/>
      <w:r w:rsidRPr="00861072">
        <w:rPr>
          <w:lang w:val="fr-FR" w:eastAsia="en-GB"/>
        </w:rPr>
        <w:t xml:space="preserve">expropriation </w:t>
      </w:r>
      <w:bookmarkStart w:id="11" w:name="HIT22"/>
      <w:bookmarkEnd w:id="11"/>
      <w:r w:rsidRPr="00861072">
        <w:rPr>
          <w:lang w:val="fr-FR" w:eastAsia="en-GB"/>
        </w:rPr>
        <w:t xml:space="preserve">indirecte </w:t>
      </w:r>
      <w:r w:rsidR="00694FF2" w:rsidRPr="00861072">
        <w:rPr>
          <w:lang w:val="fr-FR" w:eastAsia="en-GB"/>
        </w:rPr>
        <w:t>a</w:t>
      </w:r>
      <w:r w:rsidRPr="00861072">
        <w:rPr>
          <w:lang w:val="fr-FR" w:eastAsia="en-GB"/>
        </w:rPr>
        <w:t xml:space="preserve"> été </w:t>
      </w:r>
      <w:r w:rsidR="00694FF2" w:rsidRPr="00861072">
        <w:rPr>
          <w:lang w:val="fr-FR" w:eastAsia="en-GB"/>
        </w:rPr>
        <w:t xml:space="preserve">effectivement </w:t>
      </w:r>
      <w:r w:rsidRPr="00861072">
        <w:rPr>
          <w:lang w:val="fr-FR" w:eastAsia="en-GB"/>
        </w:rPr>
        <w:t xml:space="preserve">appliqué et </w:t>
      </w:r>
      <w:r w:rsidR="00227BFD" w:rsidRPr="00861072">
        <w:rPr>
          <w:lang w:val="fr-FR" w:eastAsia="en-GB"/>
        </w:rPr>
        <w:t>que le transfert de propriété du terrain</w:t>
      </w:r>
      <w:r w:rsidRPr="00861072">
        <w:rPr>
          <w:lang w:val="fr-FR" w:eastAsia="en-GB"/>
        </w:rPr>
        <w:t xml:space="preserve"> </w:t>
      </w:r>
      <w:r w:rsidR="00227BFD" w:rsidRPr="00861072">
        <w:rPr>
          <w:lang w:val="fr-FR" w:eastAsia="en-GB"/>
        </w:rPr>
        <w:t>au bénéfice des</w:t>
      </w:r>
      <w:r w:rsidRPr="00861072">
        <w:rPr>
          <w:lang w:val="fr-FR" w:eastAsia="en-GB"/>
        </w:rPr>
        <w:t xml:space="preserve"> pouvoirs publics </w:t>
      </w:r>
      <w:proofErr w:type="gramStart"/>
      <w:r w:rsidRPr="00861072">
        <w:rPr>
          <w:lang w:val="fr-FR" w:eastAsia="en-GB"/>
        </w:rPr>
        <w:t>a</w:t>
      </w:r>
      <w:proofErr w:type="gramEnd"/>
      <w:r w:rsidRPr="00861072">
        <w:rPr>
          <w:lang w:val="fr-FR" w:eastAsia="en-GB"/>
        </w:rPr>
        <w:t xml:space="preserve"> été </w:t>
      </w:r>
      <w:r w:rsidR="00E34E73" w:rsidRPr="00861072">
        <w:rPr>
          <w:lang w:val="fr-FR" w:eastAsia="en-GB"/>
        </w:rPr>
        <w:t>entériné</w:t>
      </w:r>
      <w:r w:rsidRPr="00861072">
        <w:rPr>
          <w:lang w:val="fr-FR" w:eastAsia="en-GB"/>
        </w:rPr>
        <w:t xml:space="preserve">. Par conséquent, </w:t>
      </w:r>
      <w:r w:rsidR="00951194" w:rsidRPr="00861072">
        <w:rPr>
          <w:lang w:val="fr-FR" w:eastAsia="en-GB"/>
        </w:rPr>
        <w:t>il y a eu méconnaissance du principe</w:t>
      </w:r>
      <w:r w:rsidR="00CB545A" w:rsidRPr="00861072">
        <w:rPr>
          <w:lang w:val="fr-FR" w:eastAsia="en-GB"/>
        </w:rPr>
        <w:t xml:space="preserve"> de </w:t>
      </w:r>
      <w:r w:rsidRPr="00861072">
        <w:rPr>
          <w:lang w:val="fr-FR" w:eastAsia="en-GB"/>
        </w:rPr>
        <w:t xml:space="preserve">la sécurité juridique </w:t>
      </w:r>
      <w:r w:rsidR="00CB545A" w:rsidRPr="00861072">
        <w:rPr>
          <w:lang w:val="fr-FR" w:eastAsia="en-GB"/>
        </w:rPr>
        <w:t>à l</w:t>
      </w:r>
      <w:r w:rsidR="00861072" w:rsidRPr="00861072">
        <w:rPr>
          <w:lang w:val="fr-FR" w:eastAsia="en-GB"/>
        </w:rPr>
        <w:t>’</w:t>
      </w:r>
      <w:r w:rsidR="00CB545A" w:rsidRPr="00861072">
        <w:rPr>
          <w:lang w:val="fr-FR" w:eastAsia="en-GB"/>
        </w:rPr>
        <w:t xml:space="preserve">égard </w:t>
      </w:r>
      <w:r w:rsidR="00951194" w:rsidRPr="00861072">
        <w:rPr>
          <w:lang w:val="fr-FR" w:eastAsia="en-GB"/>
        </w:rPr>
        <w:t xml:space="preserve">des requérants concernant </w:t>
      </w:r>
      <w:r w:rsidRPr="00861072">
        <w:rPr>
          <w:lang w:val="fr-FR" w:eastAsia="en-GB"/>
        </w:rPr>
        <w:t xml:space="preserve">la privation de propriété </w:t>
      </w:r>
      <w:r w:rsidR="00317406" w:rsidRPr="00861072">
        <w:rPr>
          <w:lang w:val="fr-FR" w:eastAsia="en-GB"/>
        </w:rPr>
        <w:t>d</w:t>
      </w:r>
      <w:r w:rsidR="00CB545A" w:rsidRPr="00861072">
        <w:rPr>
          <w:lang w:val="fr-FR" w:eastAsia="en-GB"/>
        </w:rPr>
        <w:t>e leur</w:t>
      </w:r>
      <w:r w:rsidR="00317406" w:rsidRPr="00861072">
        <w:rPr>
          <w:lang w:val="fr-FR" w:eastAsia="en-GB"/>
        </w:rPr>
        <w:t xml:space="preserve"> terrain</w:t>
      </w:r>
      <w:r w:rsidR="00951194" w:rsidRPr="00861072">
        <w:rPr>
          <w:lang w:val="fr-FR" w:eastAsia="en-GB"/>
        </w:rPr>
        <w:t>, et ce jusqu</w:t>
      </w:r>
      <w:r w:rsidR="00861072" w:rsidRPr="00861072">
        <w:rPr>
          <w:lang w:val="fr-FR" w:eastAsia="en-GB"/>
        </w:rPr>
        <w:t>’</w:t>
      </w:r>
      <w:r w:rsidR="00951194" w:rsidRPr="00861072">
        <w:rPr>
          <w:lang w:val="fr-FR" w:eastAsia="en-GB"/>
        </w:rPr>
        <w:t>au</w:t>
      </w:r>
      <w:r w:rsidRPr="00861072">
        <w:rPr>
          <w:lang w:val="fr-FR" w:eastAsia="en-GB"/>
        </w:rPr>
        <w:t xml:space="preserve"> </w:t>
      </w:r>
      <w:r w:rsidR="00D25D51" w:rsidRPr="00861072">
        <w:rPr>
          <w:lang w:val="fr-FR" w:eastAsia="en-GB"/>
        </w:rPr>
        <w:t>28 mai 2005</w:t>
      </w:r>
      <w:r w:rsidRPr="00861072">
        <w:rPr>
          <w:lang w:val="fr-FR" w:eastAsia="en-GB"/>
        </w:rPr>
        <w:t xml:space="preserve">, date à laquelle le jugement </w:t>
      </w:r>
      <w:r w:rsidR="00D25D51" w:rsidRPr="00861072">
        <w:rPr>
          <w:lang w:val="fr-FR" w:eastAsia="en-GB"/>
        </w:rPr>
        <w:t xml:space="preserve">du tribunal </w:t>
      </w:r>
      <w:r w:rsidRPr="00861072">
        <w:rPr>
          <w:lang w:val="fr-FR" w:eastAsia="en-GB"/>
        </w:rPr>
        <w:t>est devenu définitif.</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40</w:t>
      </w:r>
      <w:r w:rsidRPr="00861072">
        <w:rPr>
          <w:lang w:val="fr-FR" w:eastAsia="en-GB"/>
        </w:rPr>
        <w:fldChar w:fldCharType="end"/>
      </w:r>
      <w:r w:rsidRPr="00861072">
        <w:rPr>
          <w:lang w:val="fr-FR" w:eastAsia="en-GB"/>
        </w:rPr>
        <w:t xml:space="preserve">.  La Cour observe ensuite que la situation en cause a permis à </w:t>
      </w:r>
      <w:r w:rsidR="002B0686" w:rsidRPr="00861072">
        <w:rPr>
          <w:lang w:val="fr-FR" w:eastAsia="en-GB"/>
        </w:rPr>
        <w:t xml:space="preserve">la municipalité </w:t>
      </w:r>
      <w:r w:rsidRPr="00861072">
        <w:rPr>
          <w:lang w:val="fr-FR" w:eastAsia="en-GB"/>
        </w:rPr>
        <w:t>de tirer parti d</w:t>
      </w:r>
      <w:r w:rsidR="00861072" w:rsidRPr="00861072">
        <w:rPr>
          <w:lang w:val="fr-FR" w:eastAsia="en-GB"/>
        </w:rPr>
        <w:t>’</w:t>
      </w:r>
      <w:r w:rsidRPr="00861072">
        <w:rPr>
          <w:lang w:val="fr-FR" w:eastAsia="en-GB"/>
        </w:rPr>
        <w:t>une occupation de terrain illégale. En d</w:t>
      </w:r>
      <w:r w:rsidR="00861072" w:rsidRPr="00861072">
        <w:rPr>
          <w:lang w:val="fr-FR" w:eastAsia="en-GB"/>
        </w:rPr>
        <w:t>’</w:t>
      </w:r>
      <w:r w:rsidRPr="00861072">
        <w:rPr>
          <w:lang w:val="fr-FR" w:eastAsia="en-GB"/>
        </w:rPr>
        <w:t xml:space="preserve">autres termes, </w:t>
      </w:r>
      <w:r w:rsidR="002B0686" w:rsidRPr="00861072">
        <w:rPr>
          <w:lang w:val="fr-FR" w:eastAsia="en-GB"/>
        </w:rPr>
        <w:t>l</w:t>
      </w:r>
      <w:r w:rsidR="00861072" w:rsidRPr="00861072">
        <w:rPr>
          <w:lang w:val="fr-FR" w:eastAsia="en-GB"/>
        </w:rPr>
        <w:t>’</w:t>
      </w:r>
      <w:r w:rsidR="002B0686" w:rsidRPr="00861072">
        <w:rPr>
          <w:lang w:val="fr-FR" w:eastAsia="en-GB"/>
        </w:rPr>
        <w:t xml:space="preserve">administration </w:t>
      </w:r>
      <w:r w:rsidRPr="00861072">
        <w:rPr>
          <w:lang w:val="fr-FR" w:eastAsia="en-GB"/>
        </w:rPr>
        <w:t>a pu s</w:t>
      </w:r>
      <w:r w:rsidR="00861072" w:rsidRPr="00861072">
        <w:rPr>
          <w:lang w:val="fr-FR" w:eastAsia="en-GB"/>
        </w:rPr>
        <w:t>’</w:t>
      </w:r>
      <w:r w:rsidRPr="00861072">
        <w:rPr>
          <w:lang w:val="fr-FR" w:eastAsia="en-GB"/>
        </w:rPr>
        <w:t>approprier le terrain au mépris des règles régissant l</w:t>
      </w:r>
      <w:r w:rsidR="00861072" w:rsidRPr="00861072">
        <w:rPr>
          <w:lang w:val="fr-FR" w:eastAsia="en-GB"/>
        </w:rPr>
        <w:t>’</w:t>
      </w:r>
      <w:r w:rsidRPr="00861072">
        <w:rPr>
          <w:lang w:val="fr-FR" w:eastAsia="en-GB"/>
        </w:rPr>
        <w:t>expropriation en bonne et due forme.</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41</w:t>
      </w:r>
      <w:r w:rsidRPr="00861072">
        <w:rPr>
          <w:lang w:val="fr-FR" w:eastAsia="en-GB"/>
        </w:rPr>
        <w:fldChar w:fldCharType="end"/>
      </w:r>
      <w:r w:rsidRPr="00861072">
        <w:rPr>
          <w:lang w:val="fr-FR" w:eastAsia="en-GB"/>
        </w:rPr>
        <w:t>.  À la lumière de ces considérations, la Cour estime que l</w:t>
      </w:r>
      <w:r w:rsidR="00861072" w:rsidRPr="00861072">
        <w:rPr>
          <w:lang w:val="fr-FR" w:eastAsia="en-GB"/>
        </w:rPr>
        <w:t>’</w:t>
      </w:r>
      <w:r w:rsidRPr="00861072">
        <w:rPr>
          <w:lang w:val="fr-FR" w:eastAsia="en-GB"/>
        </w:rPr>
        <w:t>ingérence litigieuse n</w:t>
      </w:r>
      <w:r w:rsidR="00861072" w:rsidRPr="00861072">
        <w:rPr>
          <w:lang w:val="fr-FR" w:eastAsia="en-GB"/>
        </w:rPr>
        <w:t>’</w:t>
      </w:r>
      <w:r w:rsidRPr="00861072">
        <w:rPr>
          <w:lang w:val="fr-FR" w:eastAsia="en-GB"/>
        </w:rPr>
        <w:t xml:space="preserve">est pas compatible avec le principe de légalité </w:t>
      </w:r>
      <w:r w:rsidR="00A2597A" w:rsidRPr="00861072">
        <w:rPr>
          <w:lang w:val="fr-FR" w:eastAsia="en-GB"/>
        </w:rPr>
        <w:t xml:space="preserve">et </w:t>
      </w:r>
      <w:r w:rsidR="00967E34" w:rsidRPr="00861072">
        <w:rPr>
          <w:lang w:val="fr-FR" w:eastAsia="en-GB"/>
        </w:rPr>
        <w:t>qu</w:t>
      </w:r>
      <w:r w:rsidR="00861072" w:rsidRPr="00861072">
        <w:rPr>
          <w:lang w:val="fr-FR" w:eastAsia="en-GB"/>
        </w:rPr>
        <w:t>’</w:t>
      </w:r>
      <w:r w:rsidR="00967E34" w:rsidRPr="00861072">
        <w:rPr>
          <w:lang w:val="fr-FR" w:eastAsia="en-GB"/>
        </w:rPr>
        <w:t>elle a donc emporté violation du droit des requé</w:t>
      </w:r>
      <w:r w:rsidR="00A2597A" w:rsidRPr="00861072">
        <w:rPr>
          <w:lang w:val="fr-FR" w:eastAsia="en-GB"/>
        </w:rPr>
        <w:t>rants au respect de leurs biens</w:t>
      </w:r>
      <w:r w:rsidRPr="00861072">
        <w:rPr>
          <w:lang w:val="fr-FR" w:eastAsia="en-GB"/>
        </w:rPr>
        <w:t>.</w:t>
      </w:r>
    </w:p>
    <w:p w:rsidR="003F4338" w:rsidRPr="00861072" w:rsidRDefault="003F4338" w:rsidP="00861072">
      <w:pPr>
        <w:pStyle w:val="ECHRPara"/>
        <w:rPr>
          <w:lang w:val="fr-FR" w:eastAsia="en-GB"/>
        </w:rPr>
      </w:pPr>
      <w:r w:rsidRPr="00861072">
        <w:rPr>
          <w:lang w:val="fr-FR" w:eastAsia="en-GB"/>
        </w:rPr>
        <w:fldChar w:fldCharType="begin"/>
      </w:r>
      <w:r w:rsidRPr="00861072">
        <w:rPr>
          <w:lang w:val="fr-FR" w:eastAsia="en-GB"/>
        </w:rPr>
        <w:instrText xml:space="preserve"> SEQ level0 \*arabic </w:instrText>
      </w:r>
      <w:r w:rsidRPr="00861072">
        <w:rPr>
          <w:lang w:val="fr-FR" w:eastAsia="en-GB"/>
        </w:rPr>
        <w:fldChar w:fldCharType="separate"/>
      </w:r>
      <w:r w:rsidR="00861072" w:rsidRPr="00861072">
        <w:rPr>
          <w:noProof/>
          <w:lang w:val="fr-FR" w:eastAsia="en-GB"/>
        </w:rPr>
        <w:t>42</w:t>
      </w:r>
      <w:r w:rsidRPr="00861072">
        <w:rPr>
          <w:lang w:val="fr-FR" w:eastAsia="en-GB"/>
        </w:rPr>
        <w:fldChar w:fldCharType="end"/>
      </w:r>
      <w:r w:rsidRPr="00861072">
        <w:rPr>
          <w:lang w:val="fr-FR" w:eastAsia="en-GB"/>
        </w:rPr>
        <w:t xml:space="preserve">.  Dès lors, </w:t>
      </w:r>
      <w:r w:rsidR="00A2597A" w:rsidRPr="00861072">
        <w:rPr>
          <w:lang w:val="fr-FR" w:eastAsia="en-GB"/>
        </w:rPr>
        <w:t>la Cour conclut qu</w:t>
      </w:r>
      <w:r w:rsidR="00861072" w:rsidRPr="00861072">
        <w:rPr>
          <w:lang w:val="fr-FR" w:eastAsia="en-GB"/>
        </w:rPr>
        <w:t>’</w:t>
      </w:r>
      <w:r w:rsidRPr="00861072">
        <w:rPr>
          <w:lang w:val="fr-FR" w:eastAsia="en-GB"/>
        </w:rPr>
        <w:t>il y a eu violation de l</w:t>
      </w:r>
      <w:r w:rsidR="00861072" w:rsidRPr="00861072">
        <w:rPr>
          <w:lang w:val="fr-FR" w:eastAsia="en-GB"/>
        </w:rPr>
        <w:t>’</w:t>
      </w:r>
      <w:r w:rsidRPr="00861072">
        <w:rPr>
          <w:lang w:val="fr-FR" w:eastAsia="en-GB"/>
        </w:rPr>
        <w:t>article 1 du Protocole n</w:t>
      </w:r>
      <w:r w:rsidRPr="00861072">
        <w:rPr>
          <w:vertAlign w:val="superscript"/>
          <w:lang w:val="fr-FR" w:eastAsia="en-GB"/>
        </w:rPr>
        <w:t>o</w:t>
      </w:r>
      <w:r w:rsidRPr="00861072">
        <w:rPr>
          <w:lang w:val="fr-FR" w:eastAsia="en-GB"/>
        </w:rPr>
        <w:t xml:space="preserve"> 1.</w:t>
      </w:r>
    </w:p>
    <w:p w:rsidR="00E77CB3" w:rsidRPr="00861072" w:rsidRDefault="00E71864" w:rsidP="00861072">
      <w:pPr>
        <w:pStyle w:val="ECHRHeading1"/>
        <w:rPr>
          <w:lang w:val="fr-FR"/>
        </w:rPr>
      </w:pPr>
      <w:r w:rsidRPr="00861072">
        <w:rPr>
          <w:lang w:val="fr-FR"/>
        </w:rPr>
        <w:t>III</w:t>
      </w:r>
      <w:r w:rsidR="00E77CB3" w:rsidRPr="00861072">
        <w:rPr>
          <w:lang w:val="fr-FR"/>
        </w:rPr>
        <w:t>.</w:t>
      </w:r>
      <w:proofErr w:type="gramStart"/>
      <w:r w:rsidR="00E77CB3" w:rsidRPr="00861072">
        <w:rPr>
          <w:lang w:val="fr-FR"/>
        </w:rPr>
        <w:t>  SUR</w:t>
      </w:r>
      <w:proofErr w:type="gramEnd"/>
      <w:r w:rsidR="00E77CB3" w:rsidRPr="00861072">
        <w:rPr>
          <w:lang w:val="fr-FR"/>
        </w:rPr>
        <w:t xml:space="preserve"> L</w:t>
      </w:r>
      <w:r w:rsidR="00861072" w:rsidRPr="00861072">
        <w:rPr>
          <w:lang w:val="fr-FR"/>
        </w:rPr>
        <w:t>’</w:t>
      </w:r>
      <w:r w:rsidR="00E77CB3" w:rsidRPr="00861072">
        <w:rPr>
          <w:lang w:val="fr-FR"/>
        </w:rPr>
        <w:t>APPLICATION DE L</w:t>
      </w:r>
      <w:r w:rsidR="00861072" w:rsidRPr="00861072">
        <w:rPr>
          <w:lang w:val="fr-FR"/>
        </w:rPr>
        <w:t>’</w:t>
      </w:r>
      <w:r w:rsidR="00E77CB3" w:rsidRPr="00861072">
        <w:rPr>
          <w:lang w:val="fr-FR"/>
        </w:rPr>
        <w:t>ARTICLE 41 DE LA CONVENTION</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43</w:t>
      </w:r>
      <w:r w:rsidRPr="00861072">
        <w:rPr>
          <w:lang w:val="fr-FR"/>
        </w:rPr>
        <w:fldChar w:fldCharType="end"/>
      </w:r>
      <w:r w:rsidR="00E77CB3" w:rsidRPr="00861072">
        <w:rPr>
          <w:lang w:val="fr-FR"/>
        </w:rPr>
        <w:t>.  Aux termes de l</w:t>
      </w:r>
      <w:r w:rsidR="00861072" w:rsidRPr="00861072">
        <w:rPr>
          <w:lang w:val="fr-FR"/>
        </w:rPr>
        <w:t>’</w:t>
      </w:r>
      <w:r w:rsidR="00E77CB3" w:rsidRPr="00861072">
        <w:rPr>
          <w:lang w:val="fr-FR"/>
        </w:rPr>
        <w:t>article 41 de la Convention,</w:t>
      </w:r>
    </w:p>
    <w:p w:rsidR="00E77CB3" w:rsidRPr="00861072" w:rsidRDefault="00E77CB3" w:rsidP="00861072">
      <w:pPr>
        <w:pStyle w:val="ECHRParaQuote"/>
        <w:keepNext/>
        <w:keepLines/>
        <w:rPr>
          <w:lang w:val="fr-FR"/>
        </w:rPr>
      </w:pPr>
      <w:r w:rsidRPr="00861072">
        <w:rPr>
          <w:lang w:val="fr-FR"/>
        </w:rPr>
        <w:lastRenderedPageBreak/>
        <w:t>« Si la Cour déclare qu</w:t>
      </w:r>
      <w:r w:rsidR="00861072" w:rsidRPr="00861072">
        <w:rPr>
          <w:lang w:val="fr-FR"/>
        </w:rPr>
        <w:t>’</w:t>
      </w:r>
      <w:r w:rsidRPr="00861072">
        <w:rPr>
          <w:lang w:val="fr-FR"/>
        </w:rPr>
        <w:t>il y a eu violation de la Convention ou de ses Protocoles, et si le droit interne de la Haute Partie contractante ne permet d</w:t>
      </w:r>
      <w:r w:rsidR="00861072" w:rsidRPr="00861072">
        <w:rPr>
          <w:lang w:val="fr-FR"/>
        </w:rPr>
        <w:t>’</w:t>
      </w:r>
      <w:r w:rsidRPr="00861072">
        <w:rPr>
          <w:lang w:val="fr-FR"/>
        </w:rPr>
        <w:t>effacer qu</w:t>
      </w:r>
      <w:r w:rsidR="00861072" w:rsidRPr="00861072">
        <w:rPr>
          <w:lang w:val="fr-FR"/>
        </w:rPr>
        <w:t>’</w:t>
      </w:r>
      <w:r w:rsidRPr="00861072">
        <w:rPr>
          <w:lang w:val="fr-FR"/>
        </w:rPr>
        <w:t>imparfaitement les conséquences de cette violation, la Cour accorde à la partie lésée, s</w:t>
      </w:r>
      <w:r w:rsidR="00861072" w:rsidRPr="00861072">
        <w:rPr>
          <w:lang w:val="fr-FR"/>
        </w:rPr>
        <w:t>’</w:t>
      </w:r>
      <w:r w:rsidRPr="00861072">
        <w:rPr>
          <w:lang w:val="fr-FR"/>
        </w:rPr>
        <w:t>il y a lieu, une satisfaction équitable. »</w:t>
      </w:r>
    </w:p>
    <w:p w:rsidR="00235A97" w:rsidRPr="00861072" w:rsidRDefault="00235A97" w:rsidP="00861072">
      <w:pPr>
        <w:pStyle w:val="ECHRHeading2"/>
        <w:rPr>
          <w:lang w:val="fr-FR"/>
        </w:rPr>
      </w:pPr>
      <w:r w:rsidRPr="00861072">
        <w:rPr>
          <w:lang w:val="fr-FR"/>
        </w:rPr>
        <w:t>A.</w:t>
      </w:r>
      <w:proofErr w:type="gramStart"/>
      <w:r w:rsidRPr="00861072">
        <w:rPr>
          <w:lang w:val="fr-FR"/>
        </w:rPr>
        <w:t>  Dommage</w:t>
      </w:r>
      <w:proofErr w:type="gramEnd"/>
      <w:r w:rsidRPr="00861072">
        <w:rPr>
          <w:lang w:val="fr-FR"/>
        </w:rPr>
        <w:t xml:space="preserve"> matériel</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44</w:t>
      </w:r>
      <w:r w:rsidRPr="00861072">
        <w:rPr>
          <w:noProof/>
          <w:lang w:val="fr-FR"/>
        </w:rPr>
        <w:fldChar w:fldCharType="end"/>
      </w:r>
      <w:r w:rsidRPr="00861072">
        <w:rPr>
          <w:lang w:val="fr-FR"/>
        </w:rPr>
        <w:t>.  Les requérants sollicitent une somme</w:t>
      </w:r>
      <w:r w:rsidR="006B14CB" w:rsidRPr="00861072">
        <w:rPr>
          <w:lang w:val="fr-FR"/>
        </w:rPr>
        <w:t xml:space="preserve"> de </w:t>
      </w:r>
      <w:r w:rsidR="004922E6" w:rsidRPr="00861072">
        <w:rPr>
          <w:lang w:val="fr-FR"/>
        </w:rPr>
        <w:t>470</w:t>
      </w:r>
      <w:r w:rsidR="00C55719" w:rsidRPr="00861072">
        <w:rPr>
          <w:lang w:val="fr-FR"/>
        </w:rPr>
        <w:t> </w:t>
      </w:r>
      <w:r w:rsidR="004922E6" w:rsidRPr="00861072">
        <w:rPr>
          <w:lang w:val="fr-FR"/>
        </w:rPr>
        <w:t>618</w:t>
      </w:r>
      <w:r w:rsidR="006B14CB" w:rsidRPr="00861072">
        <w:rPr>
          <w:lang w:val="fr-FR"/>
        </w:rPr>
        <w:t xml:space="preserve"> EUR</w:t>
      </w:r>
      <w:r w:rsidR="00C55719" w:rsidRPr="00861072">
        <w:rPr>
          <w:lang w:val="fr-FR"/>
        </w:rPr>
        <w:t>, qui, selon eux,</w:t>
      </w:r>
      <w:r w:rsidR="006B14CB" w:rsidRPr="00861072">
        <w:rPr>
          <w:lang w:val="fr-FR"/>
        </w:rPr>
        <w:t xml:space="preserve"> correspond à la</w:t>
      </w:r>
      <w:r w:rsidR="00D63160" w:rsidRPr="00861072">
        <w:rPr>
          <w:lang w:val="fr-FR"/>
        </w:rPr>
        <w:t xml:space="preserve"> </w:t>
      </w:r>
      <w:r w:rsidR="006B14CB" w:rsidRPr="00861072">
        <w:rPr>
          <w:lang w:val="fr-FR"/>
        </w:rPr>
        <w:t xml:space="preserve">valeur vénale </w:t>
      </w:r>
      <w:r w:rsidR="00992D94" w:rsidRPr="00861072">
        <w:rPr>
          <w:lang w:val="fr-FR"/>
        </w:rPr>
        <w:t xml:space="preserve">actuelle </w:t>
      </w:r>
      <w:r w:rsidR="006B14CB" w:rsidRPr="00861072">
        <w:rPr>
          <w:lang w:val="fr-FR"/>
        </w:rPr>
        <w:t>du terrain</w:t>
      </w:r>
      <w:r w:rsidR="00524890" w:rsidRPr="00861072">
        <w:rPr>
          <w:lang w:val="fr-FR"/>
        </w:rPr>
        <w:t xml:space="preserve"> et</w:t>
      </w:r>
      <w:r w:rsidR="00694FF2" w:rsidRPr="00861072">
        <w:rPr>
          <w:lang w:val="fr-FR"/>
        </w:rPr>
        <w:t xml:space="preserve"> </w:t>
      </w:r>
      <w:r w:rsidR="001B69D5" w:rsidRPr="00861072">
        <w:rPr>
          <w:lang w:val="fr-FR"/>
        </w:rPr>
        <w:t>pren</w:t>
      </w:r>
      <w:r w:rsidR="00C55719" w:rsidRPr="00861072">
        <w:rPr>
          <w:lang w:val="fr-FR"/>
        </w:rPr>
        <w:t>d</w:t>
      </w:r>
      <w:r w:rsidR="001F7C74" w:rsidRPr="00861072">
        <w:rPr>
          <w:lang w:val="fr-FR"/>
        </w:rPr>
        <w:t xml:space="preserve"> </w:t>
      </w:r>
      <w:r w:rsidR="001B69D5" w:rsidRPr="00861072">
        <w:rPr>
          <w:lang w:val="fr-FR"/>
        </w:rPr>
        <w:t xml:space="preserve">en </w:t>
      </w:r>
      <w:r w:rsidR="001F7C74" w:rsidRPr="00861072">
        <w:rPr>
          <w:lang w:val="fr-FR"/>
        </w:rPr>
        <w:t>compte</w:t>
      </w:r>
      <w:r w:rsidR="00694FF2" w:rsidRPr="00861072">
        <w:rPr>
          <w:lang w:val="fr-FR"/>
        </w:rPr>
        <w:t xml:space="preserve"> </w:t>
      </w:r>
      <w:r w:rsidR="001F7C74" w:rsidRPr="00861072">
        <w:rPr>
          <w:lang w:val="fr-FR"/>
        </w:rPr>
        <w:t xml:space="preserve">sa destination </w:t>
      </w:r>
      <w:r w:rsidR="00C01476" w:rsidRPr="00861072">
        <w:rPr>
          <w:lang w:val="fr-FR"/>
        </w:rPr>
        <w:t>de cimetière</w:t>
      </w:r>
      <w:r w:rsidR="00694FF2" w:rsidRPr="00861072">
        <w:rPr>
          <w:lang w:val="fr-FR"/>
        </w:rPr>
        <w:t xml:space="preserve">. Ils </w:t>
      </w:r>
      <w:r w:rsidR="007F6D29" w:rsidRPr="00861072">
        <w:rPr>
          <w:lang w:val="fr-FR"/>
        </w:rPr>
        <w:t xml:space="preserve">réclament une somme </w:t>
      </w:r>
      <w:r w:rsidR="00D63160" w:rsidRPr="00861072">
        <w:rPr>
          <w:lang w:val="fr-FR"/>
        </w:rPr>
        <w:t>de 512 649,05 EUR</w:t>
      </w:r>
      <w:r w:rsidR="007F6D29" w:rsidRPr="00861072">
        <w:rPr>
          <w:lang w:val="fr-FR"/>
        </w:rPr>
        <w:t xml:space="preserve"> correspondant aux </w:t>
      </w:r>
      <w:r w:rsidR="00D63160" w:rsidRPr="00861072">
        <w:rPr>
          <w:lang w:val="fr-FR"/>
        </w:rPr>
        <w:t>intérêts légaux</w:t>
      </w:r>
      <w:r w:rsidR="007F6D29" w:rsidRPr="00861072">
        <w:rPr>
          <w:lang w:val="fr-FR"/>
        </w:rPr>
        <w:t xml:space="preserve"> qui leur seraient dus</w:t>
      </w:r>
      <w:r w:rsidR="00903C2E" w:rsidRPr="00861072">
        <w:rPr>
          <w:lang w:val="fr-FR"/>
        </w:rPr>
        <w:t>.</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45</w:t>
      </w:r>
      <w:r w:rsidRPr="00861072">
        <w:rPr>
          <w:lang w:val="fr-FR"/>
        </w:rPr>
        <w:fldChar w:fldCharType="end"/>
      </w:r>
      <w:r w:rsidRPr="00861072">
        <w:rPr>
          <w:lang w:val="fr-FR"/>
        </w:rPr>
        <w:t xml:space="preserve">.  Le Gouvernement </w:t>
      </w:r>
      <w:r w:rsidR="00C55719" w:rsidRPr="00861072">
        <w:rPr>
          <w:lang w:val="fr-FR"/>
        </w:rPr>
        <w:t>invite la Cour à ne pas répondre favorablement à ces demandes</w:t>
      </w:r>
      <w:r w:rsidRPr="00861072">
        <w:rPr>
          <w:lang w:val="fr-FR"/>
        </w:rPr>
        <w:t>.</w:t>
      </w:r>
    </w:p>
    <w:bookmarkStart w:id="12" w:name="materiel_start"/>
    <w:p w:rsidR="00235A97" w:rsidRPr="00861072" w:rsidRDefault="00235A97" w:rsidP="00861072">
      <w:pPr>
        <w:pStyle w:val="ECHRPara"/>
        <w:rPr>
          <w:szCs w:val="24"/>
          <w:lang w:val="fr-FR" w:eastAsia="en-GB"/>
        </w:rPr>
      </w:pPr>
      <w:r w:rsidRPr="00861072">
        <w:rPr>
          <w:szCs w:val="24"/>
          <w:lang w:val="fr-FR" w:eastAsia="en-GB"/>
        </w:rPr>
        <w:fldChar w:fldCharType="begin"/>
      </w:r>
      <w:r w:rsidRPr="00861072">
        <w:rPr>
          <w:szCs w:val="24"/>
          <w:lang w:val="fr-FR" w:eastAsia="en-GB"/>
        </w:rPr>
        <w:instrText xml:space="preserve"> SEQ level0 \*arabic </w:instrText>
      </w:r>
      <w:r w:rsidRPr="00861072">
        <w:rPr>
          <w:szCs w:val="24"/>
          <w:lang w:val="fr-FR" w:eastAsia="en-GB"/>
        </w:rPr>
        <w:fldChar w:fldCharType="separate"/>
      </w:r>
      <w:r w:rsidR="00861072" w:rsidRPr="00861072">
        <w:rPr>
          <w:noProof/>
          <w:szCs w:val="24"/>
          <w:lang w:val="fr-FR" w:eastAsia="en-GB"/>
        </w:rPr>
        <w:t>46</w:t>
      </w:r>
      <w:r w:rsidRPr="00861072">
        <w:rPr>
          <w:szCs w:val="24"/>
          <w:lang w:val="fr-FR" w:eastAsia="en-GB"/>
        </w:rPr>
        <w:fldChar w:fldCharType="end"/>
      </w:r>
      <w:bookmarkEnd w:id="12"/>
      <w:r w:rsidRPr="00861072">
        <w:rPr>
          <w:szCs w:val="24"/>
          <w:lang w:val="fr-FR" w:eastAsia="en-GB"/>
        </w:rPr>
        <w:t>.  La Cour rappelle que</w:t>
      </w:r>
      <w:r w:rsidR="005E372F" w:rsidRPr="00861072">
        <w:rPr>
          <w:szCs w:val="24"/>
          <w:lang w:val="fr-FR" w:eastAsia="en-GB"/>
        </w:rPr>
        <w:t>,</w:t>
      </w:r>
      <w:r w:rsidRPr="00861072">
        <w:rPr>
          <w:szCs w:val="24"/>
          <w:lang w:val="fr-FR" w:eastAsia="en-GB"/>
        </w:rPr>
        <w:t xml:space="preserve"> dans l</w:t>
      </w:r>
      <w:r w:rsidR="00861072" w:rsidRPr="00861072">
        <w:rPr>
          <w:szCs w:val="24"/>
          <w:lang w:val="fr-FR" w:eastAsia="en-GB"/>
        </w:rPr>
        <w:t>’</w:t>
      </w:r>
      <w:r w:rsidRPr="00861072">
        <w:rPr>
          <w:szCs w:val="24"/>
          <w:lang w:val="fr-FR" w:eastAsia="en-GB"/>
        </w:rPr>
        <w:t>a</w:t>
      </w:r>
      <w:r w:rsidR="001B69D5" w:rsidRPr="00861072">
        <w:rPr>
          <w:szCs w:val="24"/>
          <w:lang w:val="fr-FR" w:eastAsia="en-GB"/>
        </w:rPr>
        <w:t>rrêt</w:t>
      </w:r>
      <w:r w:rsidRPr="00861072">
        <w:rPr>
          <w:szCs w:val="24"/>
          <w:lang w:val="fr-FR" w:eastAsia="en-GB"/>
        </w:rPr>
        <w:t xml:space="preserve"> </w:t>
      </w:r>
      <w:proofErr w:type="spellStart"/>
      <w:r w:rsidRPr="00861072">
        <w:rPr>
          <w:i/>
          <w:iCs/>
          <w:szCs w:val="24"/>
          <w:lang w:val="fr-FR" w:eastAsia="en-GB"/>
        </w:rPr>
        <w:t>Guiso-Gallisay</w:t>
      </w:r>
      <w:proofErr w:type="spellEnd"/>
      <w:r w:rsidRPr="00861072">
        <w:rPr>
          <w:i/>
          <w:iCs/>
          <w:szCs w:val="24"/>
          <w:lang w:val="fr-FR" w:eastAsia="en-GB"/>
        </w:rPr>
        <w:t xml:space="preserve"> </w:t>
      </w:r>
      <w:r w:rsidR="00591CAB" w:rsidRPr="00861072">
        <w:rPr>
          <w:szCs w:val="24"/>
          <w:lang w:val="fr-FR" w:eastAsia="en-GB"/>
        </w:rPr>
        <w:t>(</w:t>
      </w:r>
      <w:r w:rsidRPr="00861072">
        <w:rPr>
          <w:szCs w:val="24"/>
          <w:lang w:val="fr-FR" w:eastAsia="en-GB"/>
        </w:rPr>
        <w:t>(satisfaction équitable) [GC], précité,</w:t>
      </w:r>
      <w:r w:rsidR="00F96162" w:rsidRPr="00861072">
        <w:rPr>
          <w:szCs w:val="24"/>
          <w:lang w:val="fr-FR" w:eastAsia="en-GB"/>
        </w:rPr>
        <w:t xml:space="preserve"> §§ </w:t>
      </w:r>
      <w:r w:rsidR="00873053" w:rsidRPr="00861072">
        <w:rPr>
          <w:szCs w:val="24"/>
          <w:lang w:val="fr-FR" w:eastAsia="en-GB"/>
        </w:rPr>
        <w:t>104-105</w:t>
      </w:r>
      <w:r w:rsidR="00591CAB" w:rsidRPr="00861072">
        <w:rPr>
          <w:szCs w:val="24"/>
          <w:lang w:val="fr-FR" w:eastAsia="en-GB"/>
        </w:rPr>
        <w:t>)</w:t>
      </w:r>
      <w:r w:rsidR="00F96162" w:rsidRPr="00861072">
        <w:rPr>
          <w:szCs w:val="24"/>
          <w:lang w:val="fr-FR" w:eastAsia="en-GB"/>
        </w:rPr>
        <w:t>,</w:t>
      </w:r>
      <w:r w:rsidRPr="00861072">
        <w:rPr>
          <w:szCs w:val="24"/>
          <w:lang w:val="fr-FR" w:eastAsia="en-GB"/>
        </w:rPr>
        <w:t xml:space="preserve"> </w:t>
      </w:r>
      <w:r w:rsidR="00591CAB" w:rsidRPr="00861072">
        <w:rPr>
          <w:szCs w:val="24"/>
          <w:lang w:val="fr-FR" w:eastAsia="en-GB"/>
        </w:rPr>
        <w:t>elle</w:t>
      </w:r>
      <w:r w:rsidRPr="00861072">
        <w:rPr>
          <w:szCs w:val="24"/>
          <w:lang w:val="fr-FR" w:eastAsia="en-GB"/>
        </w:rPr>
        <w:t xml:space="preserve"> a modifié </w:t>
      </w:r>
      <w:r w:rsidR="00591CAB" w:rsidRPr="00861072">
        <w:rPr>
          <w:szCs w:val="24"/>
          <w:lang w:val="fr-FR" w:eastAsia="en-GB"/>
        </w:rPr>
        <w:t>s</w:t>
      </w:r>
      <w:r w:rsidRPr="00861072">
        <w:rPr>
          <w:szCs w:val="24"/>
          <w:lang w:val="fr-FR" w:eastAsia="en-GB"/>
        </w:rPr>
        <w:t>a jurisprudence concernant les critères d</w:t>
      </w:r>
      <w:r w:rsidR="00861072" w:rsidRPr="00861072">
        <w:rPr>
          <w:szCs w:val="24"/>
          <w:lang w:val="fr-FR" w:eastAsia="en-GB"/>
        </w:rPr>
        <w:t>’</w:t>
      </w:r>
      <w:r w:rsidRPr="00861072">
        <w:rPr>
          <w:szCs w:val="24"/>
          <w:lang w:val="fr-FR" w:eastAsia="en-GB"/>
        </w:rPr>
        <w:t>indemnisation dans les affaires d</w:t>
      </w:r>
      <w:r w:rsidR="00861072" w:rsidRPr="00861072">
        <w:rPr>
          <w:szCs w:val="24"/>
          <w:lang w:val="fr-FR" w:eastAsia="en-GB"/>
        </w:rPr>
        <w:t>’</w:t>
      </w:r>
      <w:r w:rsidRPr="00861072">
        <w:rPr>
          <w:szCs w:val="24"/>
          <w:lang w:val="fr-FR" w:eastAsia="en-GB"/>
        </w:rPr>
        <w:t>expropriation indirecte</w:t>
      </w:r>
      <w:r w:rsidR="00A77E52" w:rsidRPr="00861072">
        <w:rPr>
          <w:szCs w:val="24"/>
          <w:lang w:val="fr-FR" w:eastAsia="en-GB"/>
        </w:rPr>
        <w:t>. En particulier, elle a décidé d</w:t>
      </w:r>
      <w:r w:rsidR="00861072" w:rsidRPr="00861072">
        <w:rPr>
          <w:szCs w:val="24"/>
          <w:lang w:val="fr-FR" w:eastAsia="en-GB"/>
        </w:rPr>
        <w:t>’</w:t>
      </w:r>
      <w:r w:rsidR="00A77E52" w:rsidRPr="00861072">
        <w:rPr>
          <w:szCs w:val="24"/>
          <w:lang w:val="fr-FR" w:eastAsia="en-GB"/>
        </w:rPr>
        <w:t>écarter les prétentions d</w:t>
      </w:r>
      <w:r w:rsidR="004A2F0B" w:rsidRPr="00861072">
        <w:rPr>
          <w:szCs w:val="24"/>
          <w:lang w:val="fr-FR" w:eastAsia="en-GB"/>
        </w:rPr>
        <w:t>es</w:t>
      </w:r>
      <w:r w:rsidR="00A77E52" w:rsidRPr="00861072">
        <w:rPr>
          <w:szCs w:val="24"/>
          <w:lang w:val="fr-FR" w:eastAsia="en-GB"/>
        </w:rPr>
        <w:t xml:space="preserve"> requérant</w:t>
      </w:r>
      <w:r w:rsidR="004A2F0B" w:rsidRPr="00861072">
        <w:rPr>
          <w:szCs w:val="24"/>
          <w:lang w:val="fr-FR" w:eastAsia="en-GB"/>
        </w:rPr>
        <w:t>s dans l</w:t>
      </w:r>
      <w:r w:rsidR="00861072" w:rsidRPr="00861072">
        <w:rPr>
          <w:szCs w:val="24"/>
          <w:lang w:val="fr-FR" w:eastAsia="en-GB"/>
        </w:rPr>
        <w:t>’</w:t>
      </w:r>
      <w:r w:rsidR="004A2F0B" w:rsidRPr="00861072">
        <w:rPr>
          <w:szCs w:val="24"/>
          <w:lang w:val="fr-FR" w:eastAsia="en-GB"/>
        </w:rPr>
        <w:t>affaire précitée,</w:t>
      </w:r>
      <w:r w:rsidR="00A77E52" w:rsidRPr="00861072">
        <w:rPr>
          <w:szCs w:val="24"/>
          <w:lang w:val="fr-FR" w:eastAsia="en-GB"/>
        </w:rPr>
        <w:t xml:space="preserve"> dans la mesure où elles </w:t>
      </w:r>
      <w:r w:rsidR="004A2F0B" w:rsidRPr="00861072">
        <w:rPr>
          <w:szCs w:val="24"/>
          <w:lang w:val="fr-FR" w:eastAsia="en-GB"/>
        </w:rPr>
        <w:t>ét</w:t>
      </w:r>
      <w:r w:rsidR="00C55719" w:rsidRPr="00861072">
        <w:rPr>
          <w:szCs w:val="24"/>
          <w:lang w:val="fr-FR" w:eastAsia="en-GB"/>
        </w:rPr>
        <w:t xml:space="preserve">aient </w:t>
      </w:r>
      <w:r w:rsidR="00A77E52" w:rsidRPr="00861072">
        <w:rPr>
          <w:szCs w:val="24"/>
          <w:lang w:val="fr-FR" w:eastAsia="en-GB"/>
        </w:rPr>
        <w:t xml:space="preserve">fondées sur la valeur des terrains à la date de </w:t>
      </w:r>
      <w:r w:rsidR="00591CAB" w:rsidRPr="00861072">
        <w:rPr>
          <w:szCs w:val="24"/>
          <w:lang w:val="fr-FR" w:eastAsia="en-GB"/>
        </w:rPr>
        <w:t xml:space="preserve">son </w:t>
      </w:r>
      <w:r w:rsidR="00A77E52" w:rsidRPr="00861072">
        <w:rPr>
          <w:szCs w:val="24"/>
          <w:lang w:val="fr-FR" w:eastAsia="en-GB"/>
        </w:rPr>
        <w:t>arrêt et de ne plus tenir compte, pour évaluer le dommage matériel, du coût de construction des immeubles bâtis par l</w:t>
      </w:r>
      <w:r w:rsidR="00861072" w:rsidRPr="00861072">
        <w:rPr>
          <w:szCs w:val="24"/>
          <w:lang w:val="fr-FR" w:eastAsia="en-GB"/>
        </w:rPr>
        <w:t>’</w:t>
      </w:r>
      <w:r w:rsidR="00A77E52" w:rsidRPr="00861072">
        <w:rPr>
          <w:szCs w:val="24"/>
          <w:lang w:val="fr-FR" w:eastAsia="en-GB"/>
        </w:rPr>
        <w:t>État sur les terrains</w:t>
      </w:r>
      <w:r w:rsidR="0010636D" w:rsidRPr="00861072">
        <w:rPr>
          <w:szCs w:val="24"/>
          <w:lang w:val="fr-FR" w:eastAsia="en-GB"/>
        </w:rPr>
        <w:t xml:space="preserve"> en cause</w:t>
      </w:r>
      <w:r w:rsidR="00A77E52" w:rsidRPr="00861072">
        <w:rPr>
          <w:szCs w:val="24"/>
          <w:lang w:val="fr-FR" w:eastAsia="en-GB"/>
        </w:rPr>
        <w:t>.</w:t>
      </w:r>
      <w:r w:rsidR="0010636D" w:rsidRPr="00861072">
        <w:rPr>
          <w:szCs w:val="24"/>
          <w:lang w:val="fr-FR" w:eastAsia="en-GB"/>
        </w:rPr>
        <w:t xml:space="preserve"> </w:t>
      </w:r>
      <w:r w:rsidR="004A2F0B" w:rsidRPr="00861072">
        <w:rPr>
          <w:szCs w:val="24"/>
          <w:lang w:val="fr-FR" w:eastAsia="en-GB"/>
        </w:rPr>
        <w:t>Désormais, l</w:t>
      </w:r>
      <w:r w:rsidR="00861072" w:rsidRPr="00861072">
        <w:rPr>
          <w:szCs w:val="24"/>
          <w:lang w:val="fr-FR" w:eastAsia="en-GB"/>
        </w:rPr>
        <w:t>’</w:t>
      </w:r>
      <w:r w:rsidR="004922E6" w:rsidRPr="00861072">
        <w:rPr>
          <w:szCs w:val="24"/>
          <w:lang w:val="fr-FR" w:eastAsia="en-GB"/>
        </w:rPr>
        <w:t>indemnisation à octroyer doit</w:t>
      </w:r>
      <w:r w:rsidR="00A77E52" w:rsidRPr="00861072">
        <w:rPr>
          <w:szCs w:val="24"/>
          <w:lang w:val="fr-FR" w:eastAsia="en-GB"/>
        </w:rPr>
        <w:t xml:space="preserve"> </w:t>
      </w:r>
      <w:r w:rsidR="004922E6" w:rsidRPr="00861072">
        <w:rPr>
          <w:szCs w:val="24"/>
          <w:lang w:val="fr-FR" w:eastAsia="en-GB"/>
        </w:rPr>
        <w:t>correspondre à la valeur pleine et entière du terrain au moment de la perte de la propriété, telle qu</w:t>
      </w:r>
      <w:r w:rsidR="00861072" w:rsidRPr="00861072">
        <w:rPr>
          <w:szCs w:val="24"/>
          <w:lang w:val="fr-FR" w:eastAsia="en-GB"/>
        </w:rPr>
        <w:t>’</w:t>
      </w:r>
      <w:r w:rsidR="004922E6" w:rsidRPr="00861072">
        <w:rPr>
          <w:szCs w:val="24"/>
          <w:lang w:val="fr-FR" w:eastAsia="en-GB"/>
        </w:rPr>
        <w:t>établie par l</w:t>
      </w:r>
      <w:r w:rsidR="00861072" w:rsidRPr="00861072">
        <w:rPr>
          <w:szCs w:val="24"/>
          <w:lang w:val="fr-FR" w:eastAsia="en-GB"/>
        </w:rPr>
        <w:t>’</w:t>
      </w:r>
      <w:r w:rsidR="004922E6" w:rsidRPr="00861072">
        <w:rPr>
          <w:szCs w:val="24"/>
          <w:lang w:val="fr-FR" w:eastAsia="en-GB"/>
        </w:rPr>
        <w:t>expertise ordonnée par la juridiction compétente au cours de la procédure interne.</w:t>
      </w:r>
      <w:r w:rsidRPr="00861072">
        <w:rPr>
          <w:szCs w:val="24"/>
          <w:lang w:val="fr-FR" w:eastAsia="en-GB"/>
        </w:rPr>
        <w:t xml:space="preserve"> Ensuite, une fois déduite la somme éventuellement octroyée au niveau national, ce montant doit être actualisé pour compenser les effets de l</w:t>
      </w:r>
      <w:r w:rsidR="00861072" w:rsidRPr="00861072">
        <w:rPr>
          <w:szCs w:val="24"/>
          <w:lang w:val="fr-FR" w:eastAsia="en-GB"/>
        </w:rPr>
        <w:t>’</w:t>
      </w:r>
      <w:r w:rsidRPr="00861072">
        <w:rPr>
          <w:szCs w:val="24"/>
          <w:lang w:val="fr-FR" w:eastAsia="en-GB"/>
        </w:rPr>
        <w:t>inflation et assorti d</w:t>
      </w:r>
      <w:r w:rsidR="00861072" w:rsidRPr="00861072">
        <w:rPr>
          <w:szCs w:val="24"/>
          <w:lang w:val="fr-FR" w:eastAsia="en-GB"/>
        </w:rPr>
        <w:t>’</w:t>
      </w:r>
      <w:r w:rsidRPr="00861072">
        <w:rPr>
          <w:szCs w:val="24"/>
          <w:lang w:val="fr-FR" w:eastAsia="en-GB"/>
        </w:rPr>
        <w:t xml:space="preserve">intérêts susceptibles de compenser, au moins en partie, le long laps de temps qui </w:t>
      </w:r>
      <w:r w:rsidR="004A2F0B" w:rsidRPr="00861072">
        <w:rPr>
          <w:szCs w:val="24"/>
          <w:lang w:val="fr-FR" w:eastAsia="en-GB"/>
        </w:rPr>
        <w:t>peut s</w:t>
      </w:r>
      <w:r w:rsidR="00861072" w:rsidRPr="00861072">
        <w:rPr>
          <w:szCs w:val="24"/>
          <w:lang w:val="fr-FR" w:eastAsia="en-GB"/>
        </w:rPr>
        <w:t>’</w:t>
      </w:r>
      <w:r w:rsidR="004A2F0B" w:rsidRPr="00861072">
        <w:rPr>
          <w:szCs w:val="24"/>
          <w:lang w:val="fr-FR" w:eastAsia="en-GB"/>
        </w:rPr>
        <w:t xml:space="preserve">être </w:t>
      </w:r>
      <w:r w:rsidRPr="00861072">
        <w:rPr>
          <w:szCs w:val="24"/>
          <w:lang w:val="fr-FR" w:eastAsia="en-GB"/>
        </w:rPr>
        <w:t>écoulé depuis la dépossession des terrains. Enfin, il y a lieu d</w:t>
      </w:r>
      <w:r w:rsidR="00861072" w:rsidRPr="00861072">
        <w:rPr>
          <w:szCs w:val="24"/>
          <w:lang w:val="fr-FR" w:eastAsia="en-GB"/>
        </w:rPr>
        <w:t>’</w:t>
      </w:r>
      <w:r w:rsidRPr="00861072">
        <w:rPr>
          <w:szCs w:val="24"/>
          <w:lang w:val="fr-FR" w:eastAsia="en-GB"/>
        </w:rPr>
        <w:t>évaluer la perte de chances éventuellement subie par les intéressés.</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47</w:t>
      </w:r>
      <w:r w:rsidRPr="00861072">
        <w:rPr>
          <w:noProof/>
          <w:lang w:val="fr-FR"/>
        </w:rPr>
        <w:fldChar w:fldCharType="end"/>
      </w:r>
      <w:r w:rsidRPr="00861072">
        <w:rPr>
          <w:lang w:val="fr-FR"/>
        </w:rPr>
        <w:t>.  En l</w:t>
      </w:r>
      <w:r w:rsidR="00861072" w:rsidRPr="00861072">
        <w:rPr>
          <w:lang w:val="fr-FR"/>
        </w:rPr>
        <w:t>’</w:t>
      </w:r>
      <w:r w:rsidRPr="00861072">
        <w:rPr>
          <w:lang w:val="fr-FR"/>
        </w:rPr>
        <w:t>espèce, d</w:t>
      </w:r>
      <w:r w:rsidR="00861072" w:rsidRPr="00861072">
        <w:rPr>
          <w:lang w:val="fr-FR"/>
        </w:rPr>
        <w:t>’</w:t>
      </w:r>
      <w:r w:rsidRPr="00861072">
        <w:rPr>
          <w:lang w:val="fr-FR"/>
        </w:rPr>
        <w:t xml:space="preserve">après les juridictions nationales, les requérants ont perdu la propriété </w:t>
      </w:r>
      <w:r w:rsidR="005E372F" w:rsidRPr="00861072">
        <w:rPr>
          <w:lang w:val="fr-FR"/>
        </w:rPr>
        <w:t xml:space="preserve">de leur </w:t>
      </w:r>
      <w:r w:rsidR="006D353A" w:rsidRPr="00861072">
        <w:rPr>
          <w:lang w:val="fr-FR"/>
        </w:rPr>
        <w:t>terrain</w:t>
      </w:r>
      <w:r w:rsidRPr="00861072">
        <w:rPr>
          <w:lang w:val="fr-FR"/>
        </w:rPr>
        <w:t xml:space="preserve"> le </w:t>
      </w:r>
      <w:r w:rsidR="00286754" w:rsidRPr="00861072">
        <w:rPr>
          <w:lang w:val="fr-FR"/>
        </w:rPr>
        <w:t>21 novembre 1988</w:t>
      </w:r>
      <w:r w:rsidRPr="00861072">
        <w:rPr>
          <w:lang w:val="fr-FR"/>
        </w:rPr>
        <w:t xml:space="preserve"> </w:t>
      </w:r>
      <w:r w:rsidR="00C576EF" w:rsidRPr="00861072">
        <w:rPr>
          <w:lang w:val="fr-FR"/>
        </w:rPr>
        <w:t xml:space="preserve">et </w:t>
      </w:r>
      <w:r w:rsidRPr="00861072">
        <w:rPr>
          <w:lang w:val="fr-FR"/>
        </w:rPr>
        <w:t xml:space="preserve">la valeur </w:t>
      </w:r>
      <w:r w:rsidR="00847D78" w:rsidRPr="00861072">
        <w:rPr>
          <w:lang w:val="fr-FR"/>
        </w:rPr>
        <w:t>de celui-ci</w:t>
      </w:r>
      <w:r w:rsidRPr="00861072">
        <w:rPr>
          <w:lang w:val="fr-FR"/>
        </w:rPr>
        <w:t xml:space="preserve"> </w:t>
      </w:r>
      <w:r w:rsidR="00847D78" w:rsidRPr="00861072">
        <w:rPr>
          <w:lang w:val="fr-FR"/>
        </w:rPr>
        <w:t xml:space="preserve">était </w:t>
      </w:r>
      <w:r w:rsidRPr="00861072">
        <w:rPr>
          <w:lang w:val="fr-FR"/>
        </w:rPr>
        <w:t xml:space="preserve">à </w:t>
      </w:r>
      <w:r w:rsidR="006F14C2" w:rsidRPr="00861072">
        <w:rPr>
          <w:lang w:val="fr-FR"/>
        </w:rPr>
        <w:t>cette</w:t>
      </w:r>
      <w:r w:rsidRPr="00861072">
        <w:rPr>
          <w:lang w:val="fr-FR"/>
        </w:rPr>
        <w:t xml:space="preserve"> date de </w:t>
      </w:r>
      <w:r w:rsidR="000959B5" w:rsidRPr="00861072">
        <w:rPr>
          <w:lang w:val="fr-FR"/>
        </w:rPr>
        <w:t xml:space="preserve">4 252 EUR </w:t>
      </w:r>
      <w:r w:rsidRPr="00861072">
        <w:rPr>
          <w:lang w:val="fr-FR"/>
        </w:rPr>
        <w:t xml:space="preserve">(paragraphe </w:t>
      </w:r>
      <w:r w:rsidR="006D353A" w:rsidRPr="00861072">
        <w:rPr>
          <w:lang w:val="fr-FR"/>
        </w:rPr>
        <w:fldChar w:fldCharType="begin"/>
      </w:r>
      <w:r w:rsidR="006D353A" w:rsidRPr="00861072">
        <w:rPr>
          <w:lang w:val="fr-FR"/>
        </w:rPr>
        <w:instrText xml:space="preserve"> REF Expertise \h </w:instrText>
      </w:r>
      <w:r w:rsidR="00410CF8" w:rsidRPr="00861072">
        <w:rPr>
          <w:lang w:val="fr-FR"/>
        </w:rPr>
        <w:instrText xml:space="preserve"> \* MERGEFORMAT </w:instrText>
      </w:r>
      <w:r w:rsidR="006D353A" w:rsidRPr="00861072">
        <w:rPr>
          <w:lang w:val="fr-FR"/>
        </w:rPr>
      </w:r>
      <w:r w:rsidR="006D353A" w:rsidRPr="00861072">
        <w:rPr>
          <w:lang w:val="fr-FR"/>
        </w:rPr>
        <w:fldChar w:fldCharType="separate"/>
      </w:r>
      <w:r w:rsidR="00861072" w:rsidRPr="00861072">
        <w:rPr>
          <w:noProof/>
          <w:lang w:val="fr-FR"/>
        </w:rPr>
        <w:t>12</w:t>
      </w:r>
      <w:r w:rsidR="006D353A" w:rsidRPr="00861072">
        <w:rPr>
          <w:lang w:val="fr-FR"/>
        </w:rPr>
        <w:fldChar w:fldCharType="end"/>
      </w:r>
      <w:r w:rsidRPr="00861072">
        <w:rPr>
          <w:lang w:val="fr-FR"/>
        </w:rPr>
        <w:t xml:space="preserve"> ci</w:t>
      </w:r>
      <w:r w:rsidR="00847D78" w:rsidRPr="00861072">
        <w:rPr>
          <w:lang w:val="fr-FR"/>
        </w:rPr>
        <w:t>-</w:t>
      </w:r>
      <w:r w:rsidRPr="00861072">
        <w:rPr>
          <w:lang w:val="fr-FR"/>
        </w:rPr>
        <w:t>dessus).</w:t>
      </w:r>
    </w:p>
    <w:bookmarkStart w:id="13" w:name="materiel_end"/>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48</w:t>
      </w:r>
      <w:r w:rsidRPr="00861072">
        <w:rPr>
          <w:noProof/>
          <w:lang w:val="fr-FR"/>
        </w:rPr>
        <w:fldChar w:fldCharType="end"/>
      </w:r>
      <w:bookmarkEnd w:id="13"/>
      <w:r w:rsidRPr="00861072">
        <w:rPr>
          <w:lang w:val="fr-FR"/>
        </w:rPr>
        <w:t>.  Compte tenu de ces éléments,</w:t>
      </w:r>
      <w:r w:rsidR="00C24B8D" w:rsidRPr="00861072">
        <w:rPr>
          <w:lang w:val="fr-FR"/>
        </w:rPr>
        <w:t xml:space="preserve"> et du fait que les requérants sont intervenus dans la procédure comme héritiers d</w:t>
      </w:r>
      <w:r w:rsidR="005E372F" w:rsidRPr="00861072">
        <w:rPr>
          <w:lang w:val="fr-FR"/>
        </w:rPr>
        <w:t>e l</w:t>
      </w:r>
      <w:r w:rsidR="00861072" w:rsidRPr="00861072">
        <w:rPr>
          <w:lang w:val="fr-FR"/>
        </w:rPr>
        <w:t>’</w:t>
      </w:r>
      <w:r w:rsidR="00C24B8D" w:rsidRPr="00861072">
        <w:rPr>
          <w:lang w:val="fr-FR"/>
        </w:rPr>
        <w:t>un des propriétaires, M.</w:t>
      </w:r>
      <w:r w:rsidR="00FF2637" w:rsidRPr="00861072">
        <w:rPr>
          <w:lang w:val="fr-FR"/>
        </w:rPr>
        <w:t> </w:t>
      </w:r>
      <w:r w:rsidR="00C24B8D" w:rsidRPr="00861072">
        <w:rPr>
          <w:lang w:val="fr-FR"/>
        </w:rPr>
        <w:t>Bartolomeo Lori</w:t>
      </w:r>
      <w:r w:rsidR="00752278" w:rsidRPr="00861072">
        <w:rPr>
          <w:lang w:val="fr-FR"/>
        </w:rPr>
        <w:t xml:space="preserve"> (paragraphe </w:t>
      </w:r>
      <w:r w:rsidR="002D1DF4" w:rsidRPr="00861072">
        <w:rPr>
          <w:lang w:val="fr-FR"/>
        </w:rPr>
        <w:fldChar w:fldCharType="begin"/>
      </w:r>
      <w:r w:rsidR="002D1DF4" w:rsidRPr="00861072">
        <w:rPr>
          <w:lang w:val="fr-FR"/>
        </w:rPr>
        <w:instrText xml:space="preserve"> REF Bartolomeo_Lori \h </w:instrText>
      </w:r>
      <w:r w:rsidR="005B7BB0" w:rsidRPr="00861072">
        <w:rPr>
          <w:lang w:val="fr-FR"/>
        </w:rPr>
        <w:instrText xml:space="preserve"> \* MERGEFORMAT </w:instrText>
      </w:r>
      <w:r w:rsidR="002D1DF4" w:rsidRPr="00861072">
        <w:rPr>
          <w:lang w:val="fr-FR"/>
        </w:rPr>
      </w:r>
      <w:r w:rsidR="002D1DF4" w:rsidRPr="00861072">
        <w:rPr>
          <w:lang w:val="fr-FR"/>
        </w:rPr>
        <w:fldChar w:fldCharType="separate"/>
      </w:r>
      <w:r w:rsidR="00861072" w:rsidRPr="00861072">
        <w:rPr>
          <w:noProof/>
          <w:lang w:val="fr-FR"/>
        </w:rPr>
        <w:t>13</w:t>
      </w:r>
      <w:r w:rsidR="002D1DF4" w:rsidRPr="00861072">
        <w:rPr>
          <w:lang w:val="fr-FR"/>
        </w:rPr>
        <w:fldChar w:fldCharType="end"/>
      </w:r>
      <w:r w:rsidR="002D1DF4" w:rsidRPr="00861072">
        <w:rPr>
          <w:lang w:val="fr-FR"/>
        </w:rPr>
        <w:t xml:space="preserve"> </w:t>
      </w:r>
      <w:r w:rsidR="00752278" w:rsidRPr="00861072">
        <w:rPr>
          <w:lang w:val="fr-FR"/>
        </w:rPr>
        <w:t>ci-dessus)</w:t>
      </w:r>
      <w:r w:rsidR="00C24B8D" w:rsidRPr="00861072">
        <w:rPr>
          <w:lang w:val="fr-FR"/>
        </w:rPr>
        <w:t xml:space="preserve">, </w:t>
      </w:r>
      <w:r w:rsidRPr="00861072">
        <w:rPr>
          <w:lang w:val="fr-FR"/>
        </w:rPr>
        <w:t>la Cour estime raisonnable d</w:t>
      </w:r>
      <w:r w:rsidR="00861072" w:rsidRPr="00861072">
        <w:rPr>
          <w:lang w:val="fr-FR"/>
        </w:rPr>
        <w:t>’</w:t>
      </w:r>
      <w:r w:rsidRPr="00861072">
        <w:rPr>
          <w:lang w:val="fr-FR"/>
        </w:rPr>
        <w:t xml:space="preserve">accorder aux requérants </w:t>
      </w:r>
      <w:r w:rsidR="002F6B1D" w:rsidRPr="00861072">
        <w:rPr>
          <w:lang w:val="fr-FR" w:eastAsia="en-GB"/>
        </w:rPr>
        <w:t>4</w:t>
      </w:r>
      <w:r w:rsidR="00C24B8D" w:rsidRPr="00861072">
        <w:rPr>
          <w:lang w:val="fr-FR" w:eastAsia="en-GB"/>
        </w:rPr>
        <w:t> </w:t>
      </w:r>
      <w:r w:rsidR="002F6B1D" w:rsidRPr="00861072">
        <w:rPr>
          <w:lang w:val="fr-FR" w:eastAsia="en-GB"/>
        </w:rPr>
        <w:t>000</w:t>
      </w:r>
      <w:r w:rsidRPr="00861072">
        <w:rPr>
          <w:lang w:val="fr-FR" w:eastAsia="en-GB"/>
        </w:rPr>
        <w:t xml:space="preserve"> </w:t>
      </w:r>
      <w:r w:rsidRPr="00861072">
        <w:rPr>
          <w:lang w:val="fr-FR"/>
        </w:rPr>
        <w:t>EUR, conjointement, plus tout montant pouvant être dû à titre d</w:t>
      </w:r>
      <w:r w:rsidR="00861072" w:rsidRPr="00861072">
        <w:rPr>
          <w:lang w:val="fr-FR"/>
        </w:rPr>
        <w:t>’</w:t>
      </w:r>
      <w:r w:rsidRPr="00861072">
        <w:rPr>
          <w:lang w:val="fr-FR"/>
        </w:rPr>
        <w:t>impôt sur cette somme.</w:t>
      </w:r>
    </w:p>
    <w:bookmarkStart w:id="14" w:name="perte_chance"/>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49</w:t>
      </w:r>
      <w:r w:rsidRPr="00861072">
        <w:rPr>
          <w:lang w:val="fr-FR"/>
        </w:rPr>
        <w:fldChar w:fldCharType="end"/>
      </w:r>
      <w:bookmarkEnd w:id="14"/>
      <w:r w:rsidRPr="00861072">
        <w:rPr>
          <w:lang w:val="fr-FR"/>
        </w:rPr>
        <w:t>.  Quant à la perte de chance</w:t>
      </w:r>
      <w:r w:rsidR="00BF02EE" w:rsidRPr="00861072">
        <w:rPr>
          <w:lang w:val="fr-FR"/>
        </w:rPr>
        <w:t>s</w:t>
      </w:r>
      <w:r w:rsidRPr="00861072">
        <w:rPr>
          <w:lang w:val="fr-FR"/>
        </w:rPr>
        <w:t xml:space="preserve"> subie </w:t>
      </w:r>
      <w:r w:rsidR="00B95A1B" w:rsidRPr="00861072">
        <w:rPr>
          <w:lang w:val="fr-FR"/>
        </w:rPr>
        <w:t xml:space="preserve">par les intéressés </w:t>
      </w:r>
      <w:r w:rsidRPr="00861072">
        <w:rPr>
          <w:lang w:val="fr-FR"/>
        </w:rPr>
        <w:t xml:space="preserve">à la suite </w:t>
      </w:r>
      <w:r w:rsidR="00DD69F3" w:rsidRPr="00861072">
        <w:rPr>
          <w:lang w:val="fr-FR"/>
        </w:rPr>
        <w:t>d</w:t>
      </w:r>
      <w:r w:rsidR="00B95A1B" w:rsidRPr="00861072">
        <w:rPr>
          <w:lang w:val="fr-FR"/>
        </w:rPr>
        <w:t xml:space="preserve">e la dépossession de leur </w:t>
      </w:r>
      <w:r w:rsidR="00656B36" w:rsidRPr="00861072">
        <w:rPr>
          <w:lang w:val="fr-FR"/>
        </w:rPr>
        <w:t>bien</w:t>
      </w:r>
      <w:r w:rsidRPr="00861072">
        <w:rPr>
          <w:lang w:val="fr-FR"/>
        </w:rPr>
        <w:t>, la Cour juge qu</w:t>
      </w:r>
      <w:r w:rsidR="00861072" w:rsidRPr="00861072">
        <w:rPr>
          <w:lang w:val="fr-FR"/>
        </w:rPr>
        <w:t>’</w:t>
      </w:r>
      <w:r w:rsidRPr="00861072">
        <w:rPr>
          <w:lang w:val="fr-FR"/>
        </w:rPr>
        <w:t>il y a lieu de prendre en considération le préjudice découlant de l</w:t>
      </w:r>
      <w:r w:rsidR="00861072" w:rsidRPr="00861072">
        <w:rPr>
          <w:lang w:val="fr-FR"/>
        </w:rPr>
        <w:t>’</w:t>
      </w:r>
      <w:r w:rsidRPr="00861072">
        <w:rPr>
          <w:lang w:val="fr-FR"/>
        </w:rPr>
        <w:t xml:space="preserve">indisponibilité </w:t>
      </w:r>
      <w:r w:rsidR="00146CDE" w:rsidRPr="00861072">
        <w:rPr>
          <w:lang w:val="fr-FR"/>
        </w:rPr>
        <w:t>du terrain</w:t>
      </w:r>
      <w:r w:rsidRPr="00861072">
        <w:rPr>
          <w:lang w:val="fr-FR"/>
        </w:rPr>
        <w:t xml:space="preserve"> pendant la période allant du début de l</w:t>
      </w:r>
      <w:r w:rsidR="00861072" w:rsidRPr="00861072">
        <w:rPr>
          <w:lang w:val="fr-FR"/>
        </w:rPr>
        <w:t>’</w:t>
      </w:r>
      <w:r w:rsidRPr="00861072">
        <w:rPr>
          <w:lang w:val="fr-FR"/>
        </w:rPr>
        <w:t>occupation légitime (</w:t>
      </w:r>
      <w:r w:rsidR="00146CDE" w:rsidRPr="00861072">
        <w:rPr>
          <w:lang w:val="fr-FR"/>
        </w:rPr>
        <w:t>15 décembre 1987</w:t>
      </w:r>
      <w:r w:rsidRPr="00861072">
        <w:rPr>
          <w:lang w:val="fr-FR"/>
        </w:rPr>
        <w:t>) jusqu</w:t>
      </w:r>
      <w:r w:rsidR="00861072" w:rsidRPr="00861072">
        <w:rPr>
          <w:lang w:val="fr-FR"/>
        </w:rPr>
        <w:t>’</w:t>
      </w:r>
      <w:r w:rsidRPr="00861072">
        <w:rPr>
          <w:lang w:val="fr-FR"/>
        </w:rPr>
        <w:t>au moment de la perte de propriété (</w:t>
      </w:r>
      <w:r w:rsidR="005116E9" w:rsidRPr="00861072">
        <w:rPr>
          <w:lang w:val="fr-FR"/>
        </w:rPr>
        <w:t>21 novembre 1988</w:t>
      </w:r>
      <w:r w:rsidRPr="00861072">
        <w:rPr>
          <w:lang w:val="fr-FR"/>
        </w:rPr>
        <w:t xml:space="preserve">). </w:t>
      </w:r>
      <w:r w:rsidR="00BF02EE" w:rsidRPr="00861072">
        <w:rPr>
          <w:lang w:val="fr-FR"/>
        </w:rPr>
        <w:t>Elle</w:t>
      </w:r>
      <w:r w:rsidRPr="00861072">
        <w:rPr>
          <w:lang w:val="fr-FR"/>
        </w:rPr>
        <w:t xml:space="preserve"> estime raisonnable d</w:t>
      </w:r>
      <w:r w:rsidR="00861072" w:rsidRPr="00861072">
        <w:rPr>
          <w:lang w:val="fr-FR"/>
        </w:rPr>
        <w:t>’</w:t>
      </w:r>
      <w:r w:rsidRPr="00861072">
        <w:rPr>
          <w:lang w:val="fr-FR"/>
        </w:rPr>
        <w:t xml:space="preserve">accorder aux requérants, conjointement, </w:t>
      </w:r>
      <w:r w:rsidR="0017361E" w:rsidRPr="00861072">
        <w:rPr>
          <w:lang w:val="fr-FR"/>
        </w:rPr>
        <w:t>60</w:t>
      </w:r>
      <w:r w:rsidRPr="00861072">
        <w:rPr>
          <w:b/>
          <w:lang w:val="fr-FR"/>
        </w:rPr>
        <w:t xml:space="preserve"> </w:t>
      </w:r>
      <w:r w:rsidRPr="00861072">
        <w:rPr>
          <w:lang w:val="fr-FR"/>
        </w:rPr>
        <w:t>EUR</w:t>
      </w:r>
      <w:r w:rsidR="00EA1759" w:rsidRPr="00861072">
        <w:rPr>
          <w:lang w:val="fr-FR"/>
        </w:rPr>
        <w:t xml:space="preserve"> </w:t>
      </w:r>
      <w:r w:rsidR="00BF02EE" w:rsidRPr="00861072">
        <w:rPr>
          <w:lang w:val="fr-FR"/>
        </w:rPr>
        <w:t>à ce titre</w:t>
      </w:r>
      <w:r w:rsidRPr="00861072">
        <w:rPr>
          <w:lang w:val="fr-FR"/>
        </w:rPr>
        <w:t>.</w:t>
      </w:r>
    </w:p>
    <w:p w:rsidR="00235A97" w:rsidRPr="00861072" w:rsidRDefault="00235A97" w:rsidP="00861072">
      <w:pPr>
        <w:pStyle w:val="ECHRHeading2"/>
        <w:rPr>
          <w:lang w:val="fr-FR"/>
        </w:rPr>
      </w:pPr>
      <w:r w:rsidRPr="00861072">
        <w:rPr>
          <w:lang w:val="fr-FR"/>
        </w:rPr>
        <w:lastRenderedPageBreak/>
        <w:t>B.</w:t>
      </w:r>
      <w:proofErr w:type="gramStart"/>
      <w:r w:rsidRPr="00861072">
        <w:rPr>
          <w:lang w:val="fr-FR"/>
        </w:rPr>
        <w:t>  Dommage</w:t>
      </w:r>
      <w:proofErr w:type="gramEnd"/>
      <w:r w:rsidRPr="00861072">
        <w:rPr>
          <w:lang w:val="fr-FR"/>
        </w:rPr>
        <w:t xml:space="preserve"> moral</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50</w:t>
      </w:r>
      <w:r w:rsidRPr="00861072">
        <w:rPr>
          <w:noProof/>
          <w:lang w:val="fr-FR"/>
        </w:rPr>
        <w:fldChar w:fldCharType="end"/>
      </w:r>
      <w:r w:rsidRPr="00861072">
        <w:rPr>
          <w:lang w:val="fr-FR"/>
        </w:rPr>
        <w:t xml:space="preserve">.  Les requérants demandent </w:t>
      </w:r>
      <w:r w:rsidR="009A4B8A" w:rsidRPr="00861072">
        <w:rPr>
          <w:lang w:val="fr-FR"/>
        </w:rPr>
        <w:t>90</w:t>
      </w:r>
      <w:r w:rsidR="00D12C8F" w:rsidRPr="00861072">
        <w:rPr>
          <w:lang w:val="fr-FR"/>
        </w:rPr>
        <w:t> </w:t>
      </w:r>
      <w:r w:rsidR="009A4B8A" w:rsidRPr="00861072">
        <w:rPr>
          <w:lang w:val="fr-FR"/>
        </w:rPr>
        <w:t>000</w:t>
      </w:r>
      <w:r w:rsidRPr="00861072">
        <w:rPr>
          <w:lang w:val="fr-FR"/>
        </w:rPr>
        <w:t xml:space="preserve"> EUR </w:t>
      </w:r>
      <w:r w:rsidR="00C55719" w:rsidRPr="00861072">
        <w:rPr>
          <w:lang w:val="fr-FR"/>
        </w:rPr>
        <w:t>pour</w:t>
      </w:r>
      <w:r w:rsidRPr="00861072">
        <w:rPr>
          <w:lang w:val="fr-FR"/>
        </w:rPr>
        <w:t xml:space="preserve"> préjudice moral.</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51</w:t>
      </w:r>
      <w:r w:rsidRPr="00861072">
        <w:rPr>
          <w:noProof/>
          <w:lang w:val="fr-FR"/>
        </w:rPr>
        <w:fldChar w:fldCharType="end"/>
      </w:r>
      <w:r w:rsidRPr="00861072">
        <w:rPr>
          <w:lang w:val="fr-FR"/>
        </w:rPr>
        <w:t xml:space="preserve">.  Le Gouvernement </w:t>
      </w:r>
      <w:r w:rsidR="00C55719" w:rsidRPr="00861072">
        <w:rPr>
          <w:lang w:val="fr-FR"/>
        </w:rPr>
        <w:t>conteste cette demande</w:t>
      </w:r>
      <w:r w:rsidRPr="00861072">
        <w:rPr>
          <w:lang w:val="fr-FR"/>
        </w:rPr>
        <w:t>.</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52</w:t>
      </w:r>
      <w:r w:rsidRPr="00861072">
        <w:rPr>
          <w:noProof/>
          <w:lang w:val="fr-FR"/>
        </w:rPr>
        <w:fldChar w:fldCharType="end"/>
      </w:r>
      <w:r w:rsidRPr="00861072">
        <w:rPr>
          <w:lang w:val="fr-FR"/>
        </w:rPr>
        <w:t>.  La Cour estime que le sentiment d</w:t>
      </w:r>
      <w:r w:rsidR="00861072" w:rsidRPr="00861072">
        <w:rPr>
          <w:lang w:val="fr-FR"/>
        </w:rPr>
        <w:t>’</w:t>
      </w:r>
      <w:r w:rsidRPr="00861072">
        <w:rPr>
          <w:lang w:val="fr-FR"/>
        </w:rPr>
        <w:t xml:space="preserve">impuissance et de frustration </w:t>
      </w:r>
      <w:r w:rsidR="00A01A3B" w:rsidRPr="00861072">
        <w:rPr>
          <w:lang w:val="fr-FR"/>
        </w:rPr>
        <w:t>que les requérants ont dû éprouv</w:t>
      </w:r>
      <w:r w:rsidR="00B83601" w:rsidRPr="00861072">
        <w:rPr>
          <w:lang w:val="fr-FR"/>
        </w:rPr>
        <w:t>er</w:t>
      </w:r>
      <w:r w:rsidR="00A01A3B" w:rsidRPr="00861072">
        <w:rPr>
          <w:lang w:val="fr-FR"/>
        </w:rPr>
        <w:t xml:space="preserve"> </w:t>
      </w:r>
      <w:r w:rsidRPr="00861072">
        <w:rPr>
          <w:lang w:val="fr-FR"/>
        </w:rPr>
        <w:t xml:space="preserve">face à la dépossession illégale de leur bien </w:t>
      </w:r>
      <w:r w:rsidR="00176CD0" w:rsidRPr="00861072">
        <w:rPr>
          <w:lang w:val="fr-FR"/>
        </w:rPr>
        <w:t xml:space="preserve">leur </w:t>
      </w:r>
      <w:r w:rsidRPr="00861072">
        <w:rPr>
          <w:lang w:val="fr-FR"/>
        </w:rPr>
        <w:t>a causé un préjudice moral important qu</w:t>
      </w:r>
      <w:r w:rsidR="00861072" w:rsidRPr="00861072">
        <w:rPr>
          <w:lang w:val="fr-FR"/>
        </w:rPr>
        <w:t>’</w:t>
      </w:r>
      <w:r w:rsidRPr="00861072">
        <w:rPr>
          <w:lang w:val="fr-FR"/>
        </w:rPr>
        <w:t>il y a lieu de réparer de manière adéquate.</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53</w:t>
      </w:r>
      <w:r w:rsidRPr="00861072">
        <w:rPr>
          <w:noProof/>
          <w:lang w:val="fr-FR"/>
        </w:rPr>
        <w:fldChar w:fldCharType="end"/>
      </w:r>
      <w:r w:rsidRPr="00861072">
        <w:rPr>
          <w:lang w:val="fr-FR"/>
        </w:rPr>
        <w:t>.  Compte tenu des circonstances</w:t>
      </w:r>
      <w:r w:rsidR="00942436" w:rsidRPr="00861072">
        <w:rPr>
          <w:lang w:val="fr-FR"/>
        </w:rPr>
        <w:t xml:space="preserve"> </w:t>
      </w:r>
      <w:r w:rsidR="00853261" w:rsidRPr="00861072">
        <w:rPr>
          <w:lang w:val="fr-FR"/>
        </w:rPr>
        <w:t>spécifiques</w:t>
      </w:r>
      <w:r w:rsidRPr="00861072">
        <w:rPr>
          <w:lang w:val="fr-FR"/>
        </w:rPr>
        <w:t xml:space="preserve"> de l</w:t>
      </w:r>
      <w:r w:rsidR="00861072" w:rsidRPr="00861072">
        <w:rPr>
          <w:lang w:val="fr-FR"/>
        </w:rPr>
        <w:t>’</w:t>
      </w:r>
      <w:r w:rsidRPr="00861072">
        <w:rPr>
          <w:lang w:val="fr-FR"/>
        </w:rPr>
        <w:t xml:space="preserve">espèce et statuant en équité, </w:t>
      </w:r>
      <w:r w:rsidR="000C7EF0" w:rsidRPr="00861072">
        <w:rPr>
          <w:lang w:val="fr-FR"/>
        </w:rPr>
        <w:t xml:space="preserve">elle </w:t>
      </w:r>
      <w:r w:rsidRPr="00861072">
        <w:rPr>
          <w:lang w:val="fr-FR"/>
        </w:rPr>
        <w:t>alloue aux requérants, conjointement, 7</w:t>
      </w:r>
      <w:r w:rsidR="00ED1C23" w:rsidRPr="00861072">
        <w:rPr>
          <w:lang w:val="fr-FR"/>
        </w:rPr>
        <w:t> </w:t>
      </w:r>
      <w:r w:rsidRPr="00861072">
        <w:rPr>
          <w:lang w:val="fr-FR"/>
        </w:rPr>
        <w:t xml:space="preserve">500 EUR </w:t>
      </w:r>
      <w:r w:rsidR="00C55719" w:rsidRPr="00861072">
        <w:rPr>
          <w:lang w:val="fr-FR"/>
        </w:rPr>
        <w:t xml:space="preserve">au </w:t>
      </w:r>
      <w:r w:rsidRPr="00861072">
        <w:rPr>
          <w:lang w:val="fr-FR"/>
        </w:rPr>
        <w:t>titre d</w:t>
      </w:r>
      <w:r w:rsidR="00C55719" w:rsidRPr="00861072">
        <w:rPr>
          <w:lang w:val="fr-FR"/>
        </w:rPr>
        <w:t>u</w:t>
      </w:r>
      <w:r w:rsidRPr="00861072">
        <w:rPr>
          <w:lang w:val="fr-FR"/>
        </w:rPr>
        <w:t xml:space="preserve"> dommage moral.</w:t>
      </w:r>
    </w:p>
    <w:p w:rsidR="00235A97" w:rsidRPr="00861072" w:rsidRDefault="00235A97" w:rsidP="00861072">
      <w:pPr>
        <w:pStyle w:val="ECHRHeading2"/>
        <w:rPr>
          <w:lang w:val="fr-FR"/>
        </w:rPr>
      </w:pPr>
      <w:r w:rsidRPr="00861072">
        <w:rPr>
          <w:lang w:val="fr-FR"/>
        </w:rPr>
        <w:t>C.</w:t>
      </w:r>
      <w:proofErr w:type="gramStart"/>
      <w:r w:rsidRPr="00861072">
        <w:rPr>
          <w:lang w:val="fr-FR"/>
        </w:rPr>
        <w:t>  Frais</w:t>
      </w:r>
      <w:proofErr w:type="gramEnd"/>
      <w:r w:rsidRPr="00861072">
        <w:rPr>
          <w:lang w:val="fr-FR"/>
        </w:rPr>
        <w:t xml:space="preserve"> et dépens</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54</w:t>
      </w:r>
      <w:r w:rsidRPr="00861072">
        <w:rPr>
          <w:noProof/>
          <w:lang w:val="fr-FR"/>
        </w:rPr>
        <w:fldChar w:fldCharType="end"/>
      </w:r>
      <w:r w:rsidRPr="00861072">
        <w:rPr>
          <w:lang w:val="fr-FR"/>
        </w:rPr>
        <w:t>.  </w:t>
      </w:r>
      <w:r w:rsidRPr="00861072">
        <w:rPr>
          <w:rFonts w:ascii="Times New Roman" w:hAnsi="Times New Roman" w:cs="Times New Roman"/>
          <w:color w:val="000000"/>
          <w:lang w:val="fr-FR"/>
        </w:rPr>
        <w:t>Notes d</w:t>
      </w:r>
      <w:r w:rsidR="00861072" w:rsidRPr="00861072">
        <w:rPr>
          <w:rFonts w:ascii="Times New Roman" w:hAnsi="Times New Roman" w:cs="Times New Roman"/>
          <w:color w:val="000000"/>
          <w:lang w:val="fr-FR"/>
        </w:rPr>
        <w:t>’</w:t>
      </w:r>
      <w:r w:rsidRPr="00861072">
        <w:rPr>
          <w:rFonts w:ascii="Times New Roman" w:hAnsi="Times New Roman" w:cs="Times New Roman"/>
          <w:color w:val="000000"/>
          <w:lang w:val="fr-FR"/>
        </w:rPr>
        <w:t>honoraires à l</w:t>
      </w:r>
      <w:r w:rsidR="00861072" w:rsidRPr="00861072">
        <w:rPr>
          <w:rFonts w:ascii="Times New Roman" w:hAnsi="Times New Roman" w:cs="Times New Roman"/>
          <w:color w:val="000000"/>
          <w:lang w:val="fr-FR"/>
        </w:rPr>
        <w:t>’</w:t>
      </w:r>
      <w:r w:rsidRPr="00861072">
        <w:rPr>
          <w:rFonts w:ascii="Times New Roman" w:hAnsi="Times New Roman" w:cs="Times New Roman"/>
          <w:color w:val="000000"/>
          <w:lang w:val="fr-FR"/>
        </w:rPr>
        <w:t xml:space="preserve">appui, </w:t>
      </w:r>
      <w:r w:rsidRPr="00861072">
        <w:rPr>
          <w:noProof/>
          <w:lang w:val="fr-FR"/>
        </w:rPr>
        <w:t>les requérants</w:t>
      </w:r>
      <w:r w:rsidRPr="00861072">
        <w:rPr>
          <w:lang w:val="fr-FR"/>
        </w:rPr>
        <w:t xml:space="preserve"> </w:t>
      </w:r>
      <w:r w:rsidR="000C7EF0" w:rsidRPr="00861072">
        <w:rPr>
          <w:lang w:val="fr-FR"/>
        </w:rPr>
        <w:t xml:space="preserve">sollicitent </w:t>
      </w:r>
      <w:r w:rsidRPr="00861072">
        <w:rPr>
          <w:lang w:val="fr-FR"/>
        </w:rPr>
        <w:t xml:space="preserve">également </w:t>
      </w:r>
      <w:r w:rsidR="00470A47" w:rsidRPr="00861072">
        <w:rPr>
          <w:lang w:val="fr-FR"/>
        </w:rPr>
        <w:t>8 726,33</w:t>
      </w:r>
      <w:r w:rsidRPr="00861072">
        <w:rPr>
          <w:lang w:val="fr-FR"/>
        </w:rPr>
        <w:t xml:space="preserve"> EUR </w:t>
      </w:r>
      <w:r w:rsidR="000C7EF0" w:rsidRPr="00861072">
        <w:rPr>
          <w:lang w:val="fr-FR"/>
        </w:rPr>
        <w:t>en remboursement des</w:t>
      </w:r>
      <w:r w:rsidRPr="00861072">
        <w:rPr>
          <w:lang w:val="fr-FR"/>
        </w:rPr>
        <w:t xml:space="preserve"> frais et dépens </w:t>
      </w:r>
      <w:r w:rsidR="00EE1241" w:rsidRPr="00861072">
        <w:rPr>
          <w:lang w:val="fr-FR"/>
        </w:rPr>
        <w:t>qu</w:t>
      </w:r>
      <w:r w:rsidR="00861072" w:rsidRPr="00861072">
        <w:rPr>
          <w:lang w:val="fr-FR"/>
        </w:rPr>
        <w:t>’</w:t>
      </w:r>
      <w:r w:rsidR="00EE1241" w:rsidRPr="00861072">
        <w:rPr>
          <w:lang w:val="fr-FR"/>
        </w:rPr>
        <w:t xml:space="preserve">ils disent avoir </w:t>
      </w:r>
      <w:r w:rsidRPr="00861072">
        <w:rPr>
          <w:lang w:val="fr-FR"/>
        </w:rPr>
        <w:t xml:space="preserve">engagés </w:t>
      </w:r>
      <w:r w:rsidR="00ED1C23" w:rsidRPr="00861072">
        <w:rPr>
          <w:lang w:val="fr-FR"/>
        </w:rPr>
        <w:t>dans</w:t>
      </w:r>
      <w:r w:rsidR="00BE7FAB" w:rsidRPr="00861072">
        <w:rPr>
          <w:lang w:val="fr-FR"/>
        </w:rPr>
        <w:t xml:space="preserve"> la </w:t>
      </w:r>
      <w:r w:rsidR="00EE1241" w:rsidRPr="00861072">
        <w:rPr>
          <w:lang w:val="fr-FR"/>
        </w:rPr>
        <w:t>procédure</w:t>
      </w:r>
      <w:r w:rsidR="00BE7FAB" w:rsidRPr="00861072">
        <w:rPr>
          <w:lang w:val="fr-FR"/>
        </w:rPr>
        <w:t xml:space="preserve"> </w:t>
      </w:r>
      <w:r w:rsidRPr="00861072">
        <w:rPr>
          <w:lang w:val="fr-FR"/>
        </w:rPr>
        <w:t xml:space="preserve">devant les juridictions internes </w:t>
      </w:r>
      <w:r w:rsidR="007A31A5" w:rsidRPr="00861072">
        <w:rPr>
          <w:lang w:val="fr-FR"/>
        </w:rPr>
        <w:t xml:space="preserve">ainsi que </w:t>
      </w:r>
      <w:r w:rsidR="00470A47" w:rsidRPr="00861072">
        <w:rPr>
          <w:lang w:val="fr-FR"/>
        </w:rPr>
        <w:t xml:space="preserve">22 806,42 </w:t>
      </w:r>
      <w:r w:rsidR="00C067C0" w:rsidRPr="00861072">
        <w:rPr>
          <w:lang w:val="fr-FR"/>
        </w:rPr>
        <w:t xml:space="preserve">EUR </w:t>
      </w:r>
      <w:r w:rsidR="00EE1241" w:rsidRPr="00861072">
        <w:rPr>
          <w:lang w:val="fr-FR"/>
        </w:rPr>
        <w:t xml:space="preserve">en remboursement </w:t>
      </w:r>
      <w:r w:rsidR="005E372F" w:rsidRPr="00861072">
        <w:rPr>
          <w:lang w:val="fr-FR"/>
        </w:rPr>
        <w:t>de ceux</w:t>
      </w:r>
      <w:r w:rsidR="00EE1241" w:rsidRPr="00861072">
        <w:rPr>
          <w:lang w:val="fr-FR"/>
        </w:rPr>
        <w:t xml:space="preserve"> qu</w:t>
      </w:r>
      <w:r w:rsidR="00861072" w:rsidRPr="00861072">
        <w:rPr>
          <w:lang w:val="fr-FR"/>
        </w:rPr>
        <w:t>’</w:t>
      </w:r>
      <w:r w:rsidR="00EE1241" w:rsidRPr="00861072">
        <w:rPr>
          <w:lang w:val="fr-FR"/>
        </w:rPr>
        <w:t xml:space="preserve">ils </w:t>
      </w:r>
      <w:r w:rsidR="00ED1C23" w:rsidRPr="00861072">
        <w:rPr>
          <w:lang w:val="fr-FR"/>
        </w:rPr>
        <w:t>auraient</w:t>
      </w:r>
      <w:r w:rsidR="00EE1241" w:rsidRPr="00861072">
        <w:rPr>
          <w:lang w:val="fr-FR"/>
        </w:rPr>
        <w:t xml:space="preserve"> exposés </w:t>
      </w:r>
      <w:r w:rsidR="00ED1C23" w:rsidRPr="00861072">
        <w:rPr>
          <w:lang w:val="fr-FR"/>
        </w:rPr>
        <w:t>dans</w:t>
      </w:r>
      <w:r w:rsidR="00BE7FAB" w:rsidRPr="00861072">
        <w:rPr>
          <w:lang w:val="fr-FR"/>
        </w:rPr>
        <w:t xml:space="preserve"> la procédure </w:t>
      </w:r>
      <w:r w:rsidRPr="00861072">
        <w:rPr>
          <w:lang w:val="fr-FR"/>
        </w:rPr>
        <w:t>devant la Cour.</w:t>
      </w:r>
    </w:p>
    <w:p w:rsidR="00235A97" w:rsidRPr="00861072" w:rsidRDefault="00235A97"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55</w:t>
      </w:r>
      <w:r w:rsidRPr="00861072">
        <w:rPr>
          <w:lang w:val="fr-FR"/>
        </w:rPr>
        <w:fldChar w:fldCharType="end"/>
      </w:r>
      <w:r w:rsidRPr="00861072">
        <w:rPr>
          <w:lang w:val="fr-FR"/>
        </w:rPr>
        <w:t xml:space="preserve">.  Le Gouvernement </w:t>
      </w:r>
      <w:r w:rsidR="00ED1C23" w:rsidRPr="00861072">
        <w:rPr>
          <w:lang w:val="fr-FR"/>
        </w:rPr>
        <w:t>invite la Cour à rejeter cette demande</w:t>
      </w:r>
      <w:r w:rsidRPr="00861072">
        <w:rPr>
          <w:lang w:val="fr-FR"/>
        </w:rPr>
        <w:t>.</w:t>
      </w:r>
    </w:p>
    <w:p w:rsidR="00235A97" w:rsidRPr="00861072" w:rsidRDefault="00235A97" w:rsidP="00861072">
      <w:pPr>
        <w:pStyle w:val="ECHRPara"/>
        <w:rPr>
          <w:color w:val="000000"/>
          <w:szCs w:val="24"/>
          <w:lang w:val="fr-FR" w:eastAsia="en-GB"/>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56</w:t>
      </w:r>
      <w:r w:rsidRPr="00861072">
        <w:rPr>
          <w:noProof/>
          <w:lang w:val="fr-FR"/>
        </w:rPr>
        <w:fldChar w:fldCharType="end"/>
      </w:r>
      <w:r w:rsidRPr="00861072">
        <w:rPr>
          <w:lang w:val="fr-FR"/>
        </w:rPr>
        <w:t>.  </w:t>
      </w:r>
      <w:r w:rsidRPr="00861072">
        <w:rPr>
          <w:color w:val="000000"/>
          <w:szCs w:val="24"/>
          <w:lang w:val="fr-FR" w:eastAsia="en-GB"/>
        </w:rPr>
        <w:t>La Cour ne doute pas de la nécessité d</w:t>
      </w:r>
      <w:r w:rsidR="00861072" w:rsidRPr="00861072">
        <w:rPr>
          <w:color w:val="000000"/>
          <w:szCs w:val="24"/>
          <w:lang w:val="fr-FR" w:eastAsia="en-GB"/>
        </w:rPr>
        <w:t>’</w:t>
      </w:r>
      <w:r w:rsidRPr="00861072">
        <w:rPr>
          <w:color w:val="000000"/>
          <w:szCs w:val="24"/>
          <w:lang w:val="fr-FR" w:eastAsia="en-GB"/>
        </w:rPr>
        <w:t xml:space="preserve">engager des frais, mais elle </w:t>
      </w:r>
      <w:r w:rsidR="00676662" w:rsidRPr="00861072">
        <w:rPr>
          <w:color w:val="000000"/>
          <w:szCs w:val="24"/>
          <w:lang w:val="fr-FR" w:eastAsia="en-GB"/>
        </w:rPr>
        <w:t xml:space="preserve">considère que </w:t>
      </w:r>
      <w:r w:rsidRPr="00861072">
        <w:rPr>
          <w:color w:val="000000"/>
          <w:szCs w:val="24"/>
          <w:lang w:val="fr-FR" w:eastAsia="en-GB"/>
        </w:rPr>
        <w:t xml:space="preserve">les </w:t>
      </w:r>
      <w:r w:rsidR="00C55719" w:rsidRPr="00861072">
        <w:rPr>
          <w:color w:val="000000"/>
          <w:szCs w:val="24"/>
          <w:lang w:val="fr-FR" w:eastAsia="en-GB"/>
        </w:rPr>
        <w:t xml:space="preserve">sommes </w:t>
      </w:r>
      <w:r w:rsidRPr="00861072">
        <w:rPr>
          <w:color w:val="000000"/>
          <w:szCs w:val="24"/>
          <w:lang w:val="fr-FR" w:eastAsia="en-GB"/>
        </w:rPr>
        <w:t>revendiqué</w:t>
      </w:r>
      <w:r w:rsidR="00C55719" w:rsidRPr="00861072">
        <w:rPr>
          <w:color w:val="000000"/>
          <w:szCs w:val="24"/>
          <w:lang w:val="fr-FR" w:eastAsia="en-GB"/>
        </w:rPr>
        <w:t>e</w:t>
      </w:r>
      <w:r w:rsidRPr="00861072">
        <w:rPr>
          <w:color w:val="000000"/>
          <w:szCs w:val="24"/>
          <w:lang w:val="fr-FR" w:eastAsia="en-GB"/>
        </w:rPr>
        <w:t>s à ce titre</w:t>
      </w:r>
      <w:r w:rsidR="00676662" w:rsidRPr="00861072">
        <w:rPr>
          <w:color w:val="000000"/>
          <w:szCs w:val="24"/>
          <w:lang w:val="fr-FR" w:eastAsia="en-GB"/>
        </w:rPr>
        <w:t xml:space="preserve"> sont excessives et </w:t>
      </w:r>
      <w:r w:rsidRPr="00861072">
        <w:rPr>
          <w:color w:val="000000"/>
          <w:szCs w:val="24"/>
          <w:lang w:val="fr-FR" w:eastAsia="en-GB"/>
        </w:rPr>
        <w:t>qu</w:t>
      </w:r>
      <w:r w:rsidR="00861072" w:rsidRPr="00861072">
        <w:rPr>
          <w:color w:val="000000"/>
          <w:szCs w:val="24"/>
          <w:lang w:val="fr-FR" w:eastAsia="en-GB"/>
        </w:rPr>
        <w:t>’</w:t>
      </w:r>
      <w:r w:rsidRPr="00861072">
        <w:rPr>
          <w:color w:val="000000"/>
          <w:szCs w:val="24"/>
          <w:lang w:val="fr-FR" w:eastAsia="en-GB"/>
        </w:rPr>
        <w:t xml:space="preserve">il y a lieu de </w:t>
      </w:r>
      <w:r w:rsidR="00676662" w:rsidRPr="00861072">
        <w:rPr>
          <w:color w:val="000000"/>
          <w:szCs w:val="24"/>
          <w:lang w:val="fr-FR" w:eastAsia="en-GB"/>
        </w:rPr>
        <w:t xml:space="preserve">ne </w:t>
      </w:r>
      <w:r w:rsidRPr="00861072">
        <w:rPr>
          <w:color w:val="000000"/>
          <w:szCs w:val="24"/>
          <w:lang w:val="fr-FR" w:eastAsia="en-GB"/>
        </w:rPr>
        <w:t xml:space="preserve">les rembourser </w:t>
      </w:r>
      <w:r w:rsidR="00676662" w:rsidRPr="00861072">
        <w:rPr>
          <w:color w:val="000000"/>
          <w:szCs w:val="24"/>
          <w:lang w:val="fr-FR" w:eastAsia="en-GB"/>
        </w:rPr>
        <w:t>qu</w:t>
      </w:r>
      <w:r w:rsidR="00861072" w:rsidRPr="00861072">
        <w:rPr>
          <w:color w:val="000000"/>
          <w:szCs w:val="24"/>
          <w:lang w:val="fr-FR" w:eastAsia="en-GB"/>
        </w:rPr>
        <w:t>’</w:t>
      </w:r>
      <w:r w:rsidRPr="00861072">
        <w:rPr>
          <w:color w:val="000000"/>
          <w:szCs w:val="24"/>
          <w:lang w:val="fr-FR" w:eastAsia="en-GB"/>
        </w:rPr>
        <w:t>en partie.</w:t>
      </w:r>
    </w:p>
    <w:p w:rsidR="00235A97" w:rsidRPr="00861072" w:rsidRDefault="00235A97" w:rsidP="00861072">
      <w:pPr>
        <w:pStyle w:val="ECHRPara"/>
        <w:rPr>
          <w:lang w:val="fr-FR"/>
        </w:rPr>
      </w:pPr>
      <w:r w:rsidRPr="00861072">
        <w:rPr>
          <w:color w:val="000000"/>
          <w:szCs w:val="24"/>
          <w:lang w:val="fr-FR" w:eastAsia="en-GB"/>
        </w:rPr>
        <w:fldChar w:fldCharType="begin"/>
      </w:r>
      <w:r w:rsidRPr="00861072">
        <w:rPr>
          <w:color w:val="000000"/>
          <w:szCs w:val="24"/>
          <w:lang w:val="fr-FR" w:eastAsia="en-GB"/>
        </w:rPr>
        <w:instrText xml:space="preserve"> SEQ level0 \*arabic </w:instrText>
      </w:r>
      <w:r w:rsidRPr="00861072">
        <w:rPr>
          <w:color w:val="000000"/>
          <w:szCs w:val="24"/>
          <w:lang w:val="fr-FR" w:eastAsia="en-GB"/>
        </w:rPr>
        <w:fldChar w:fldCharType="separate"/>
      </w:r>
      <w:r w:rsidR="00861072" w:rsidRPr="00861072">
        <w:rPr>
          <w:noProof/>
          <w:color w:val="000000"/>
          <w:szCs w:val="24"/>
          <w:lang w:val="fr-FR" w:eastAsia="en-GB"/>
        </w:rPr>
        <w:t>57</w:t>
      </w:r>
      <w:r w:rsidRPr="00861072">
        <w:rPr>
          <w:color w:val="000000"/>
          <w:szCs w:val="24"/>
          <w:lang w:val="fr-FR" w:eastAsia="en-GB"/>
        </w:rPr>
        <w:fldChar w:fldCharType="end"/>
      </w:r>
      <w:r w:rsidRPr="00861072">
        <w:rPr>
          <w:color w:val="000000"/>
          <w:szCs w:val="24"/>
          <w:lang w:val="fr-FR" w:eastAsia="en-GB"/>
        </w:rPr>
        <w:t>.  Compte tenu des circonstances de la cause, la Cour juge raisonnable d</w:t>
      </w:r>
      <w:r w:rsidR="00861072" w:rsidRPr="00861072">
        <w:rPr>
          <w:color w:val="000000"/>
          <w:szCs w:val="24"/>
          <w:lang w:val="fr-FR" w:eastAsia="en-GB"/>
        </w:rPr>
        <w:t>’</w:t>
      </w:r>
      <w:r w:rsidRPr="00861072">
        <w:rPr>
          <w:color w:val="000000"/>
          <w:szCs w:val="24"/>
          <w:lang w:val="fr-FR" w:eastAsia="en-GB"/>
        </w:rPr>
        <w:t xml:space="preserve">allouer </w:t>
      </w:r>
      <w:r w:rsidR="00311896" w:rsidRPr="00861072">
        <w:rPr>
          <w:color w:val="000000"/>
          <w:szCs w:val="24"/>
          <w:lang w:val="fr-FR" w:eastAsia="en-GB"/>
        </w:rPr>
        <w:t>aux requérants</w:t>
      </w:r>
      <w:r w:rsidR="00AF7AD9" w:rsidRPr="00861072">
        <w:rPr>
          <w:color w:val="000000"/>
          <w:szCs w:val="24"/>
          <w:lang w:val="fr-FR" w:eastAsia="en-GB"/>
        </w:rPr>
        <w:t>,</w:t>
      </w:r>
      <w:r w:rsidR="00C33523" w:rsidRPr="00861072">
        <w:rPr>
          <w:color w:val="000000"/>
          <w:szCs w:val="24"/>
          <w:lang w:val="fr-FR" w:eastAsia="en-GB"/>
        </w:rPr>
        <w:t xml:space="preserve"> </w:t>
      </w:r>
      <w:r w:rsidR="00AF7AD9" w:rsidRPr="00861072">
        <w:rPr>
          <w:color w:val="000000"/>
          <w:szCs w:val="24"/>
          <w:lang w:val="fr-FR" w:eastAsia="en-GB"/>
        </w:rPr>
        <w:t>conjointement,</w:t>
      </w:r>
      <w:r w:rsidR="00311896" w:rsidRPr="00861072">
        <w:rPr>
          <w:color w:val="000000"/>
          <w:szCs w:val="24"/>
          <w:lang w:val="fr-FR" w:eastAsia="en-GB"/>
        </w:rPr>
        <w:t xml:space="preserve"> </w:t>
      </w:r>
      <w:r w:rsidRPr="00861072">
        <w:rPr>
          <w:color w:val="000000"/>
          <w:szCs w:val="24"/>
          <w:lang w:val="fr-FR" w:eastAsia="en-GB"/>
        </w:rPr>
        <w:t>5</w:t>
      </w:r>
      <w:r w:rsidR="00C55719" w:rsidRPr="00861072">
        <w:rPr>
          <w:color w:val="000000"/>
          <w:szCs w:val="24"/>
          <w:lang w:val="fr-FR" w:eastAsia="en-GB"/>
        </w:rPr>
        <w:t> </w:t>
      </w:r>
      <w:r w:rsidRPr="00861072">
        <w:rPr>
          <w:color w:val="000000"/>
          <w:szCs w:val="24"/>
          <w:lang w:val="fr-FR" w:eastAsia="en-GB"/>
        </w:rPr>
        <w:t>000 EUR pour l</w:t>
      </w:r>
      <w:r w:rsidR="00861072" w:rsidRPr="00861072">
        <w:rPr>
          <w:color w:val="000000"/>
          <w:szCs w:val="24"/>
          <w:lang w:val="fr-FR" w:eastAsia="en-GB"/>
        </w:rPr>
        <w:t>’</w:t>
      </w:r>
      <w:r w:rsidRPr="00861072">
        <w:rPr>
          <w:color w:val="000000"/>
          <w:szCs w:val="24"/>
          <w:lang w:val="fr-FR" w:eastAsia="en-GB"/>
        </w:rPr>
        <w:t>ensemble de</w:t>
      </w:r>
      <w:r w:rsidR="005E372F" w:rsidRPr="00861072">
        <w:rPr>
          <w:color w:val="000000"/>
          <w:szCs w:val="24"/>
          <w:lang w:val="fr-FR" w:eastAsia="en-GB"/>
        </w:rPr>
        <w:t>s</w:t>
      </w:r>
      <w:r w:rsidRPr="00861072">
        <w:rPr>
          <w:color w:val="000000"/>
          <w:szCs w:val="24"/>
          <w:lang w:val="fr-FR" w:eastAsia="en-GB"/>
        </w:rPr>
        <w:t xml:space="preserve"> frais exposés.</w:t>
      </w:r>
    </w:p>
    <w:p w:rsidR="00E77CB3" w:rsidRPr="00861072" w:rsidRDefault="004721C1" w:rsidP="00861072">
      <w:pPr>
        <w:pStyle w:val="ECHRHeading2"/>
        <w:rPr>
          <w:lang w:val="fr-FR"/>
        </w:rPr>
      </w:pPr>
      <w:r w:rsidRPr="00861072">
        <w:rPr>
          <w:lang w:val="fr-FR"/>
        </w:rPr>
        <w:t>D</w:t>
      </w:r>
      <w:r w:rsidR="00E77CB3" w:rsidRPr="00861072">
        <w:rPr>
          <w:lang w:val="fr-FR"/>
        </w:rPr>
        <w:t>.</w:t>
      </w:r>
      <w:proofErr w:type="gramStart"/>
      <w:r w:rsidR="00E77CB3" w:rsidRPr="00861072">
        <w:rPr>
          <w:lang w:val="fr-FR"/>
        </w:rPr>
        <w:t>  Intérêts</w:t>
      </w:r>
      <w:proofErr w:type="gramEnd"/>
      <w:r w:rsidR="00E77CB3" w:rsidRPr="00861072">
        <w:rPr>
          <w:lang w:val="fr-FR"/>
        </w:rPr>
        <w:t xml:space="preserve"> moratoires</w:t>
      </w:r>
    </w:p>
    <w:p w:rsidR="00E77CB3" w:rsidRPr="00861072" w:rsidRDefault="00E52443" w:rsidP="00861072">
      <w:pPr>
        <w:pStyle w:val="ECHRPara"/>
        <w:rPr>
          <w:lang w:val="fr-FR"/>
        </w:rPr>
      </w:pPr>
      <w:r w:rsidRPr="00861072">
        <w:rPr>
          <w:lang w:val="fr-FR"/>
        </w:rPr>
        <w:fldChar w:fldCharType="begin"/>
      </w:r>
      <w:r w:rsidRPr="00861072">
        <w:rPr>
          <w:lang w:val="fr-FR"/>
        </w:rPr>
        <w:instrText xml:space="preserve"> SEQ level0 \*arabic </w:instrText>
      </w:r>
      <w:r w:rsidRPr="00861072">
        <w:rPr>
          <w:lang w:val="fr-FR"/>
        </w:rPr>
        <w:fldChar w:fldCharType="separate"/>
      </w:r>
      <w:r w:rsidR="00861072" w:rsidRPr="00861072">
        <w:rPr>
          <w:noProof/>
          <w:lang w:val="fr-FR"/>
        </w:rPr>
        <w:t>58</w:t>
      </w:r>
      <w:r w:rsidRPr="00861072">
        <w:rPr>
          <w:lang w:val="fr-FR"/>
        </w:rPr>
        <w:fldChar w:fldCharType="end"/>
      </w:r>
      <w:r w:rsidR="00E77CB3" w:rsidRPr="00861072">
        <w:rPr>
          <w:lang w:val="fr-FR"/>
        </w:rPr>
        <w:t>.  La Cour juge approprié de calquer le taux des intérêts moratoires sur le taux d</w:t>
      </w:r>
      <w:r w:rsidR="00861072" w:rsidRPr="00861072">
        <w:rPr>
          <w:lang w:val="fr-FR"/>
        </w:rPr>
        <w:t>’</w:t>
      </w:r>
      <w:r w:rsidR="00E77CB3" w:rsidRPr="00861072">
        <w:rPr>
          <w:lang w:val="fr-FR"/>
        </w:rPr>
        <w:t>intérêt de la facilité de prêt marginal de la Banque centrale européenne majoré de trois points de pourcentage.</w:t>
      </w:r>
    </w:p>
    <w:p w:rsidR="00E77CB3" w:rsidRPr="00861072" w:rsidRDefault="00E77CB3" w:rsidP="00861072">
      <w:pPr>
        <w:pStyle w:val="ECHRTitle1"/>
        <w:rPr>
          <w:lang w:val="fr-FR"/>
        </w:rPr>
      </w:pPr>
      <w:r w:rsidRPr="00861072">
        <w:rPr>
          <w:lang w:val="fr-FR"/>
        </w:rPr>
        <w:t>PAR CES MOTIFS, LA COUR</w:t>
      </w:r>
      <w:r w:rsidR="00E52443" w:rsidRPr="00861072">
        <w:rPr>
          <w:lang w:val="fr-FR"/>
        </w:rPr>
        <w:t>, À L</w:t>
      </w:r>
      <w:r w:rsidR="00861072" w:rsidRPr="00861072">
        <w:rPr>
          <w:lang w:val="fr-FR"/>
        </w:rPr>
        <w:t>’</w:t>
      </w:r>
      <w:r w:rsidR="00E52443" w:rsidRPr="00861072">
        <w:rPr>
          <w:lang w:val="fr-FR"/>
        </w:rPr>
        <w:t>UNANIMITÉ,</w:t>
      </w:r>
    </w:p>
    <w:p w:rsidR="002B1E73" w:rsidRPr="00861072" w:rsidRDefault="00FB2B45" w:rsidP="00861072">
      <w:pPr>
        <w:pStyle w:val="JuList"/>
        <w:rPr>
          <w:lang w:val="fr-FR"/>
        </w:rPr>
      </w:pPr>
      <w:r w:rsidRPr="00861072">
        <w:rPr>
          <w:lang w:val="fr-FR"/>
        </w:rPr>
        <w:t>1.  </w:t>
      </w:r>
      <w:r w:rsidR="002B1E73" w:rsidRPr="00861072">
        <w:rPr>
          <w:i/>
          <w:lang w:val="fr-FR"/>
        </w:rPr>
        <w:t>Rejette</w:t>
      </w:r>
      <w:r w:rsidR="002B1E73" w:rsidRPr="00861072">
        <w:rPr>
          <w:lang w:val="fr-FR"/>
        </w:rPr>
        <w:t xml:space="preserve"> </w:t>
      </w:r>
      <w:r w:rsidR="00840400" w:rsidRPr="00861072">
        <w:rPr>
          <w:lang w:val="fr-FR"/>
        </w:rPr>
        <w:t>la demande de radiation du rôle de la requête </w:t>
      </w:r>
      <w:r w:rsidR="002B1E73" w:rsidRPr="00861072">
        <w:rPr>
          <w:lang w:val="fr-FR"/>
        </w:rPr>
        <w:t>;</w:t>
      </w:r>
    </w:p>
    <w:p w:rsidR="002B1E73" w:rsidRPr="00861072" w:rsidRDefault="002B1E73" w:rsidP="00861072">
      <w:pPr>
        <w:pStyle w:val="JuList"/>
        <w:rPr>
          <w:lang w:val="fr-FR"/>
        </w:rPr>
      </w:pPr>
    </w:p>
    <w:p w:rsidR="00E77CB3" w:rsidRPr="00861072" w:rsidRDefault="002B1E73" w:rsidP="00861072">
      <w:pPr>
        <w:pStyle w:val="JuList"/>
        <w:rPr>
          <w:b/>
          <w:lang w:val="fr-FR"/>
        </w:rPr>
      </w:pPr>
      <w:r w:rsidRPr="00861072">
        <w:rPr>
          <w:lang w:val="fr-FR"/>
        </w:rPr>
        <w:t>2</w:t>
      </w:r>
      <w:r w:rsidR="00253854" w:rsidRPr="00861072">
        <w:rPr>
          <w:lang w:val="fr-FR"/>
        </w:rPr>
        <w:t>.  </w:t>
      </w:r>
      <w:r w:rsidR="00FB2B45" w:rsidRPr="00861072">
        <w:rPr>
          <w:i/>
          <w:lang w:val="fr-FR"/>
        </w:rPr>
        <w:t>Déclare</w:t>
      </w:r>
      <w:r w:rsidR="00FB2B45" w:rsidRPr="00861072">
        <w:rPr>
          <w:lang w:val="fr-FR"/>
        </w:rPr>
        <w:t xml:space="preserve"> </w:t>
      </w:r>
      <w:r w:rsidR="00E52443" w:rsidRPr="00861072">
        <w:rPr>
          <w:lang w:val="fr-FR"/>
        </w:rPr>
        <w:t>la requête recevable</w:t>
      </w:r>
      <w:r w:rsidR="0008694B" w:rsidRPr="00861072">
        <w:rPr>
          <w:lang w:val="fr-FR"/>
        </w:rPr>
        <w:t xml:space="preserve"> </w:t>
      </w:r>
      <w:r w:rsidR="00FB2B45" w:rsidRPr="00861072">
        <w:rPr>
          <w:lang w:val="fr-FR"/>
        </w:rPr>
        <w:t>;</w:t>
      </w:r>
    </w:p>
    <w:p w:rsidR="00E77CB3" w:rsidRPr="00861072" w:rsidRDefault="00E77CB3" w:rsidP="00861072">
      <w:pPr>
        <w:pStyle w:val="JuList"/>
        <w:rPr>
          <w:lang w:val="fr-FR"/>
        </w:rPr>
      </w:pPr>
    </w:p>
    <w:p w:rsidR="00E77CB3" w:rsidRPr="00861072" w:rsidRDefault="002B1E73" w:rsidP="00861072">
      <w:pPr>
        <w:pStyle w:val="JuList"/>
        <w:rPr>
          <w:lang w:val="fr-FR"/>
        </w:rPr>
      </w:pPr>
      <w:r w:rsidRPr="00861072">
        <w:rPr>
          <w:lang w:val="fr-FR"/>
        </w:rPr>
        <w:t>3</w:t>
      </w:r>
      <w:r w:rsidR="00E77CB3" w:rsidRPr="00861072">
        <w:rPr>
          <w:lang w:val="fr-FR"/>
        </w:rPr>
        <w:t>.  </w:t>
      </w:r>
      <w:r w:rsidR="00E77CB3" w:rsidRPr="00861072">
        <w:rPr>
          <w:i/>
          <w:lang w:val="fr-FR"/>
        </w:rPr>
        <w:t>Dit</w:t>
      </w:r>
      <w:r w:rsidR="00E77CB3" w:rsidRPr="00861072">
        <w:rPr>
          <w:lang w:val="fr-FR"/>
        </w:rPr>
        <w:t xml:space="preserve"> qu</w:t>
      </w:r>
      <w:r w:rsidR="00861072" w:rsidRPr="00861072">
        <w:rPr>
          <w:lang w:val="fr-FR"/>
        </w:rPr>
        <w:t>’</w:t>
      </w:r>
      <w:r w:rsidR="00E77CB3" w:rsidRPr="00861072">
        <w:rPr>
          <w:lang w:val="fr-FR"/>
        </w:rPr>
        <w:t>il y a eu violation de l</w:t>
      </w:r>
      <w:r w:rsidR="00861072" w:rsidRPr="00861072">
        <w:rPr>
          <w:lang w:val="fr-FR"/>
        </w:rPr>
        <w:t>’</w:t>
      </w:r>
      <w:r w:rsidR="00E77CB3" w:rsidRPr="00861072">
        <w:rPr>
          <w:lang w:val="fr-FR"/>
        </w:rPr>
        <w:t xml:space="preserve">article </w:t>
      </w:r>
      <w:r w:rsidR="005545D5" w:rsidRPr="00861072">
        <w:rPr>
          <w:lang w:val="fr-FR"/>
        </w:rPr>
        <w:t>1 du Protocole n</w:t>
      </w:r>
      <w:r w:rsidR="005545D5" w:rsidRPr="00861072">
        <w:rPr>
          <w:vertAlign w:val="superscript"/>
          <w:lang w:val="fr-FR"/>
        </w:rPr>
        <w:t>o</w:t>
      </w:r>
      <w:r w:rsidR="005545D5" w:rsidRPr="00861072">
        <w:rPr>
          <w:lang w:val="fr-FR"/>
        </w:rPr>
        <w:t xml:space="preserve"> 1</w:t>
      </w:r>
      <w:r w:rsidR="00E77CB3" w:rsidRPr="00861072">
        <w:rPr>
          <w:lang w:val="fr-FR"/>
        </w:rPr>
        <w:t> ;</w:t>
      </w:r>
    </w:p>
    <w:p w:rsidR="00437BB9" w:rsidRPr="00861072" w:rsidRDefault="00437BB9" w:rsidP="00861072">
      <w:pPr>
        <w:pStyle w:val="JuList"/>
        <w:rPr>
          <w:lang w:val="fr-FR"/>
        </w:rPr>
      </w:pPr>
    </w:p>
    <w:p w:rsidR="00E52443" w:rsidRPr="00861072" w:rsidRDefault="002B1E73" w:rsidP="00861072">
      <w:pPr>
        <w:pStyle w:val="JuList"/>
        <w:keepNext/>
        <w:keepLines/>
        <w:rPr>
          <w:lang w:val="fr-FR"/>
        </w:rPr>
      </w:pPr>
      <w:r w:rsidRPr="00861072">
        <w:rPr>
          <w:lang w:val="fr-FR"/>
        </w:rPr>
        <w:lastRenderedPageBreak/>
        <w:t>4</w:t>
      </w:r>
      <w:r w:rsidR="00E77CB3" w:rsidRPr="00861072">
        <w:rPr>
          <w:lang w:val="fr-FR"/>
        </w:rPr>
        <w:t>.  </w:t>
      </w:r>
      <w:r w:rsidR="00E77CB3" w:rsidRPr="00861072">
        <w:rPr>
          <w:i/>
          <w:lang w:val="fr-FR"/>
        </w:rPr>
        <w:t>Dit</w:t>
      </w:r>
    </w:p>
    <w:p w:rsidR="00E77CB3" w:rsidRPr="00861072" w:rsidRDefault="00E77CB3" w:rsidP="00861072">
      <w:pPr>
        <w:pStyle w:val="JuLista"/>
        <w:keepNext/>
        <w:keepLines/>
        <w:rPr>
          <w:lang w:val="fr-FR"/>
        </w:rPr>
      </w:pPr>
      <w:r w:rsidRPr="00861072">
        <w:rPr>
          <w:lang w:val="fr-FR"/>
        </w:rPr>
        <w:t>a)  que l</w:t>
      </w:r>
      <w:r w:rsidR="00861072" w:rsidRPr="00861072">
        <w:rPr>
          <w:lang w:val="fr-FR"/>
        </w:rPr>
        <w:t>’</w:t>
      </w:r>
      <w:r w:rsidRPr="00861072">
        <w:rPr>
          <w:lang w:val="fr-FR"/>
        </w:rPr>
        <w:t xml:space="preserve">État défendeur doit verser </w:t>
      </w:r>
      <w:r w:rsidR="00E52443" w:rsidRPr="00861072">
        <w:rPr>
          <w:lang w:val="fr-FR"/>
        </w:rPr>
        <w:t>aux requérants</w:t>
      </w:r>
      <w:r w:rsidRPr="00861072">
        <w:rPr>
          <w:lang w:val="fr-FR"/>
        </w:rPr>
        <w:t xml:space="preserve">, </w:t>
      </w:r>
      <w:r w:rsidR="007C682F" w:rsidRPr="00861072">
        <w:rPr>
          <w:lang w:val="fr-FR"/>
        </w:rPr>
        <w:t xml:space="preserve">conjointement, </w:t>
      </w:r>
      <w:r w:rsidRPr="00861072">
        <w:rPr>
          <w:lang w:val="fr-FR"/>
        </w:rPr>
        <w:t>dans les trois mois, les sommes suivantes</w:t>
      </w:r>
      <w:r w:rsidR="00B66A3F" w:rsidRPr="00861072">
        <w:rPr>
          <w:lang w:val="fr-FR"/>
        </w:rPr>
        <w:t> </w:t>
      </w:r>
      <w:r w:rsidRPr="00861072">
        <w:rPr>
          <w:lang w:val="fr-FR"/>
        </w:rPr>
        <w:t>:</w:t>
      </w:r>
    </w:p>
    <w:p w:rsidR="00E77CB3" w:rsidRPr="00861072" w:rsidRDefault="00E77CB3" w:rsidP="00861072">
      <w:pPr>
        <w:pStyle w:val="JuListi"/>
        <w:keepNext/>
        <w:keepLines/>
        <w:rPr>
          <w:lang w:val="fr-FR" w:eastAsia="en-GB"/>
        </w:rPr>
      </w:pPr>
      <w:r w:rsidRPr="00861072">
        <w:rPr>
          <w:lang w:val="fr-FR" w:eastAsia="en-GB"/>
        </w:rPr>
        <w:t>i</w:t>
      </w:r>
      <w:r w:rsidR="004763E8" w:rsidRPr="00861072">
        <w:rPr>
          <w:lang w:val="fr-FR" w:eastAsia="en-GB"/>
        </w:rPr>
        <w:t>.</w:t>
      </w:r>
      <w:r w:rsidRPr="00861072">
        <w:rPr>
          <w:lang w:val="fr-FR" w:eastAsia="en-GB"/>
        </w:rPr>
        <w:t>  </w:t>
      </w:r>
      <w:r w:rsidR="007D1F7F" w:rsidRPr="00861072">
        <w:rPr>
          <w:lang w:val="fr-FR" w:eastAsia="en-GB"/>
        </w:rPr>
        <w:t>4</w:t>
      </w:r>
      <w:r w:rsidR="00B05FA3" w:rsidRPr="00861072">
        <w:rPr>
          <w:lang w:val="fr-FR"/>
        </w:rPr>
        <w:t> </w:t>
      </w:r>
      <w:r w:rsidR="007D1F7F" w:rsidRPr="00861072">
        <w:rPr>
          <w:lang w:val="fr-FR"/>
        </w:rPr>
        <w:t>0</w:t>
      </w:r>
      <w:r w:rsidR="005765D0" w:rsidRPr="00861072">
        <w:rPr>
          <w:lang w:val="fr-FR"/>
        </w:rPr>
        <w:t>60</w:t>
      </w:r>
      <w:r w:rsidRPr="00861072">
        <w:rPr>
          <w:lang w:val="fr-FR" w:eastAsia="en-GB"/>
        </w:rPr>
        <w:t xml:space="preserve"> EUR (</w:t>
      </w:r>
      <w:r w:rsidR="007D1F7F" w:rsidRPr="00861072">
        <w:rPr>
          <w:lang w:val="fr-FR" w:eastAsia="en-GB"/>
        </w:rPr>
        <w:t>quatre</w:t>
      </w:r>
      <w:r w:rsidR="005765D0" w:rsidRPr="00861072">
        <w:rPr>
          <w:lang w:val="fr-FR" w:eastAsia="en-GB"/>
        </w:rPr>
        <w:t xml:space="preserve"> mille soixante</w:t>
      </w:r>
      <w:r w:rsidR="007D1F7F" w:rsidRPr="00861072">
        <w:rPr>
          <w:lang w:val="fr-FR" w:eastAsia="en-GB"/>
        </w:rPr>
        <w:t xml:space="preserve"> euros)</w:t>
      </w:r>
      <w:r w:rsidRPr="00861072">
        <w:rPr>
          <w:lang w:val="fr-FR" w:eastAsia="en-GB"/>
        </w:rPr>
        <w:t>, plus tout montant pouvant être dû à titre d</w:t>
      </w:r>
      <w:r w:rsidR="00861072" w:rsidRPr="00861072">
        <w:rPr>
          <w:lang w:val="fr-FR" w:eastAsia="en-GB"/>
        </w:rPr>
        <w:t>’</w:t>
      </w:r>
      <w:r w:rsidRPr="00861072">
        <w:rPr>
          <w:lang w:val="fr-FR" w:eastAsia="en-GB"/>
        </w:rPr>
        <w:t>impôt, pour dommage matériel</w:t>
      </w:r>
      <w:r w:rsidR="00CB6F12" w:rsidRPr="00861072">
        <w:rPr>
          <w:lang w:val="fr-FR" w:eastAsia="en-GB"/>
        </w:rPr>
        <w:t>,</w:t>
      </w:r>
    </w:p>
    <w:p w:rsidR="00E77CB3" w:rsidRPr="00861072" w:rsidRDefault="00E77CB3" w:rsidP="00861072">
      <w:pPr>
        <w:pStyle w:val="JuListi"/>
        <w:keepNext/>
        <w:keepLines/>
        <w:rPr>
          <w:lang w:val="fr-FR" w:eastAsia="en-GB"/>
        </w:rPr>
      </w:pPr>
      <w:r w:rsidRPr="00861072">
        <w:rPr>
          <w:lang w:val="fr-FR" w:eastAsia="en-GB"/>
        </w:rPr>
        <w:t>ii</w:t>
      </w:r>
      <w:r w:rsidR="004763E8" w:rsidRPr="00861072">
        <w:rPr>
          <w:lang w:val="fr-FR" w:eastAsia="en-GB"/>
        </w:rPr>
        <w:t>.</w:t>
      </w:r>
      <w:r w:rsidRPr="00861072">
        <w:rPr>
          <w:lang w:val="fr-FR" w:eastAsia="en-GB"/>
        </w:rPr>
        <w:t>  </w:t>
      </w:r>
      <w:r w:rsidR="008431E3" w:rsidRPr="00861072">
        <w:rPr>
          <w:lang w:val="fr-FR" w:eastAsia="en-GB"/>
        </w:rPr>
        <w:t>7</w:t>
      </w:r>
      <w:r w:rsidR="00B05FA3" w:rsidRPr="00861072">
        <w:rPr>
          <w:lang w:val="fr-FR" w:eastAsia="en-GB"/>
        </w:rPr>
        <w:t> </w:t>
      </w:r>
      <w:r w:rsidR="008431E3" w:rsidRPr="00861072">
        <w:rPr>
          <w:lang w:val="fr-FR" w:eastAsia="en-GB"/>
        </w:rPr>
        <w:t>500</w:t>
      </w:r>
      <w:r w:rsidRPr="00861072">
        <w:rPr>
          <w:lang w:val="fr-FR" w:eastAsia="en-GB"/>
        </w:rPr>
        <w:t xml:space="preserve"> EUR (</w:t>
      </w:r>
      <w:r w:rsidR="008431E3" w:rsidRPr="00861072">
        <w:rPr>
          <w:lang w:val="fr-FR" w:eastAsia="en-GB"/>
        </w:rPr>
        <w:t>sept mille cinq cent</w:t>
      </w:r>
      <w:r w:rsidR="00B45EE8" w:rsidRPr="00861072">
        <w:rPr>
          <w:lang w:val="fr-FR" w:eastAsia="en-GB"/>
        </w:rPr>
        <w:t>s</w:t>
      </w:r>
      <w:r w:rsidRPr="00861072">
        <w:rPr>
          <w:lang w:val="fr-FR" w:eastAsia="en-GB"/>
        </w:rPr>
        <w:t xml:space="preserve"> euros), plus tout montant pouvant être dû à titre d</w:t>
      </w:r>
      <w:r w:rsidR="00861072" w:rsidRPr="00861072">
        <w:rPr>
          <w:lang w:val="fr-FR" w:eastAsia="en-GB"/>
        </w:rPr>
        <w:t>’</w:t>
      </w:r>
      <w:r w:rsidRPr="00861072">
        <w:rPr>
          <w:lang w:val="fr-FR" w:eastAsia="en-GB"/>
        </w:rPr>
        <w:t>impôt, pour dommage moral</w:t>
      </w:r>
      <w:r w:rsidR="00CB6F12" w:rsidRPr="00861072">
        <w:rPr>
          <w:lang w:val="fr-FR" w:eastAsia="en-GB"/>
        </w:rPr>
        <w:t>,</w:t>
      </w:r>
    </w:p>
    <w:p w:rsidR="00E77CB3" w:rsidRPr="00861072" w:rsidRDefault="00E77CB3" w:rsidP="00861072">
      <w:pPr>
        <w:pStyle w:val="JuListi"/>
        <w:keepNext/>
        <w:keepLines/>
        <w:rPr>
          <w:lang w:val="fr-FR" w:eastAsia="en-GB"/>
        </w:rPr>
      </w:pPr>
      <w:r w:rsidRPr="00861072">
        <w:rPr>
          <w:lang w:val="fr-FR" w:eastAsia="en-GB"/>
        </w:rPr>
        <w:t>iii</w:t>
      </w:r>
      <w:r w:rsidR="004763E8" w:rsidRPr="00861072">
        <w:rPr>
          <w:lang w:val="fr-FR" w:eastAsia="en-GB"/>
        </w:rPr>
        <w:t>.</w:t>
      </w:r>
      <w:proofErr w:type="gramStart"/>
      <w:r w:rsidRPr="00861072">
        <w:rPr>
          <w:lang w:val="fr-FR" w:eastAsia="en-GB"/>
        </w:rPr>
        <w:t>  </w:t>
      </w:r>
      <w:r w:rsidR="008431E3" w:rsidRPr="00861072">
        <w:rPr>
          <w:lang w:val="fr-FR" w:eastAsia="en-GB"/>
        </w:rPr>
        <w:t>5</w:t>
      </w:r>
      <w:proofErr w:type="gramEnd"/>
      <w:r w:rsidR="00B05FA3" w:rsidRPr="00861072">
        <w:rPr>
          <w:lang w:val="fr-FR" w:eastAsia="en-GB"/>
        </w:rPr>
        <w:t> </w:t>
      </w:r>
      <w:r w:rsidR="008431E3" w:rsidRPr="00861072">
        <w:rPr>
          <w:lang w:val="fr-FR" w:eastAsia="en-GB"/>
        </w:rPr>
        <w:t>000</w:t>
      </w:r>
      <w:r w:rsidRPr="00861072">
        <w:rPr>
          <w:lang w:val="fr-FR" w:eastAsia="en-GB"/>
        </w:rPr>
        <w:t xml:space="preserve"> EUR (</w:t>
      </w:r>
      <w:r w:rsidR="008431E3" w:rsidRPr="00861072">
        <w:rPr>
          <w:lang w:val="fr-FR" w:eastAsia="en-GB"/>
        </w:rPr>
        <w:t>cinq mille</w:t>
      </w:r>
      <w:r w:rsidRPr="00861072">
        <w:rPr>
          <w:lang w:val="fr-FR" w:eastAsia="en-GB"/>
        </w:rPr>
        <w:t xml:space="preserve"> euros), plus tout montant </w:t>
      </w:r>
      <w:r w:rsidR="005E37C6" w:rsidRPr="00861072">
        <w:rPr>
          <w:lang w:val="fr-FR" w:eastAsia="en-GB"/>
        </w:rPr>
        <w:t xml:space="preserve">pouvant être dû par </w:t>
      </w:r>
      <w:r w:rsidR="00E52443" w:rsidRPr="00861072">
        <w:rPr>
          <w:lang w:val="fr-FR"/>
        </w:rPr>
        <w:t>les requérants</w:t>
      </w:r>
      <w:r w:rsidR="005E37C6" w:rsidRPr="00861072">
        <w:rPr>
          <w:lang w:val="fr-FR" w:eastAsia="en-GB"/>
        </w:rPr>
        <w:t xml:space="preserve"> à titre d</w:t>
      </w:r>
      <w:r w:rsidR="00861072" w:rsidRPr="00861072">
        <w:rPr>
          <w:lang w:val="fr-FR" w:eastAsia="en-GB"/>
        </w:rPr>
        <w:t>’</w:t>
      </w:r>
      <w:r w:rsidR="005E37C6" w:rsidRPr="00861072">
        <w:rPr>
          <w:lang w:val="fr-FR" w:eastAsia="en-GB"/>
        </w:rPr>
        <w:t>impôt, pour frais et dépens</w:t>
      </w:r>
      <w:r w:rsidRPr="00861072">
        <w:rPr>
          <w:lang w:val="fr-FR" w:eastAsia="en-GB"/>
        </w:rPr>
        <w:t> ;</w:t>
      </w:r>
    </w:p>
    <w:p w:rsidR="003175BA" w:rsidRPr="00861072" w:rsidRDefault="00E77CB3" w:rsidP="00861072">
      <w:pPr>
        <w:pStyle w:val="JuLista"/>
        <w:keepNext/>
        <w:keepLines/>
        <w:rPr>
          <w:lang w:val="fr-FR"/>
        </w:rPr>
      </w:pPr>
      <w:r w:rsidRPr="00861072">
        <w:rPr>
          <w:lang w:val="fr-FR"/>
        </w:rPr>
        <w:t>b)  qu</w:t>
      </w:r>
      <w:r w:rsidR="00861072" w:rsidRPr="00861072">
        <w:rPr>
          <w:lang w:val="fr-FR"/>
        </w:rPr>
        <w:t>’</w:t>
      </w:r>
      <w:r w:rsidRPr="00861072">
        <w:rPr>
          <w:lang w:val="fr-FR"/>
        </w:rPr>
        <w:t>à compter de l</w:t>
      </w:r>
      <w:r w:rsidR="00861072" w:rsidRPr="00861072">
        <w:rPr>
          <w:lang w:val="fr-FR"/>
        </w:rPr>
        <w:t>’</w:t>
      </w:r>
      <w:r w:rsidRPr="00861072">
        <w:rPr>
          <w:lang w:val="fr-FR"/>
        </w:rPr>
        <w:t>expiration dudit délai et jusqu</w:t>
      </w:r>
      <w:r w:rsidR="00861072" w:rsidRPr="00861072">
        <w:rPr>
          <w:lang w:val="fr-FR"/>
        </w:rPr>
        <w:t>’</w:t>
      </w:r>
      <w:r w:rsidRPr="00861072">
        <w:rPr>
          <w:lang w:val="fr-FR"/>
        </w:rPr>
        <w:t>au versement, ces montants seront à majorer d</w:t>
      </w:r>
      <w:r w:rsidR="00861072" w:rsidRPr="00861072">
        <w:rPr>
          <w:lang w:val="fr-FR"/>
        </w:rPr>
        <w:t>’</w:t>
      </w:r>
      <w:r w:rsidRPr="00861072">
        <w:rPr>
          <w:lang w:val="fr-FR"/>
        </w:rPr>
        <w:t>un intérêt simple à un taux égal à celui de la facilité de prêt marginal de la Banque centrale européenne applicable pendant cette période, augmenté de trois points de pourcentage ;</w:t>
      </w:r>
    </w:p>
    <w:p w:rsidR="00E77CB3" w:rsidRPr="00861072" w:rsidRDefault="00E77CB3" w:rsidP="00861072">
      <w:pPr>
        <w:pStyle w:val="JuLista"/>
        <w:rPr>
          <w:lang w:val="fr-FR"/>
        </w:rPr>
      </w:pPr>
    </w:p>
    <w:p w:rsidR="00E77CB3" w:rsidRPr="00861072" w:rsidRDefault="002B1E73" w:rsidP="00861072">
      <w:pPr>
        <w:pStyle w:val="JuList"/>
        <w:rPr>
          <w:lang w:val="fr-FR"/>
        </w:rPr>
      </w:pPr>
      <w:r w:rsidRPr="00861072">
        <w:rPr>
          <w:lang w:val="fr-FR"/>
        </w:rPr>
        <w:t>5</w:t>
      </w:r>
      <w:r w:rsidR="00E77CB3" w:rsidRPr="00861072">
        <w:rPr>
          <w:lang w:val="fr-FR"/>
        </w:rPr>
        <w:t>.  </w:t>
      </w:r>
      <w:r w:rsidR="00E77CB3" w:rsidRPr="00861072">
        <w:rPr>
          <w:i/>
          <w:lang w:val="fr-FR"/>
        </w:rPr>
        <w:t>Rejette</w:t>
      </w:r>
      <w:r w:rsidR="00E77CB3" w:rsidRPr="00861072">
        <w:rPr>
          <w:lang w:val="fr-FR"/>
        </w:rPr>
        <w:t xml:space="preserve"> la demande de satisfaction équitable pour le surplus.</w:t>
      </w:r>
    </w:p>
    <w:p w:rsidR="00E77CB3" w:rsidRPr="00861072" w:rsidRDefault="00E77CB3" w:rsidP="00861072">
      <w:pPr>
        <w:pStyle w:val="JuParaLast"/>
        <w:keepNext w:val="0"/>
        <w:keepLines w:val="0"/>
        <w:rPr>
          <w:lang w:val="fr-FR"/>
        </w:rPr>
      </w:pPr>
      <w:r w:rsidRPr="00861072">
        <w:rPr>
          <w:lang w:val="fr-FR"/>
        </w:rPr>
        <w:t>Fait en français, puis communiqué par écrit le </w:t>
      </w:r>
      <w:r w:rsidR="003C726B" w:rsidRPr="00861072">
        <w:rPr>
          <w:lang w:val="fr-FR"/>
        </w:rPr>
        <w:t>16 novembre 2017</w:t>
      </w:r>
      <w:r w:rsidRPr="00861072">
        <w:rPr>
          <w:lang w:val="fr-FR"/>
        </w:rPr>
        <w:t>, en application de l</w:t>
      </w:r>
      <w:r w:rsidR="00861072" w:rsidRPr="00861072">
        <w:rPr>
          <w:lang w:val="fr-FR"/>
        </w:rPr>
        <w:t>’</w:t>
      </w:r>
      <w:r w:rsidRPr="00861072">
        <w:rPr>
          <w:lang w:val="fr-FR"/>
        </w:rPr>
        <w:t>article 77 §§ 2 et 3 du règlement</w:t>
      </w:r>
      <w:r w:rsidR="00AC0824" w:rsidRPr="00861072">
        <w:rPr>
          <w:lang w:val="fr-FR"/>
        </w:rPr>
        <w:t xml:space="preserve"> de la Cour</w:t>
      </w:r>
      <w:r w:rsidRPr="00861072">
        <w:rPr>
          <w:lang w:val="fr-FR"/>
        </w:rPr>
        <w:t>.</w:t>
      </w:r>
    </w:p>
    <w:p w:rsidR="00E77CB3" w:rsidRPr="00861072" w:rsidRDefault="008A1DE3" w:rsidP="00861072">
      <w:pPr>
        <w:pStyle w:val="JuSigned"/>
        <w:rPr>
          <w:lang w:val="fr-FR"/>
        </w:rPr>
      </w:pPr>
      <w:r w:rsidRPr="00861072">
        <w:rPr>
          <w:lang w:val="fr-FR"/>
        </w:rPr>
        <w:t xml:space="preserve"> </w:t>
      </w:r>
      <w:r w:rsidR="00E52443" w:rsidRPr="00861072">
        <w:rPr>
          <w:lang w:val="fr-FR"/>
        </w:rPr>
        <w:t xml:space="preserve">Renata </w:t>
      </w:r>
      <w:proofErr w:type="spellStart"/>
      <w:r w:rsidR="00E52443" w:rsidRPr="00861072">
        <w:rPr>
          <w:lang w:val="fr-FR"/>
        </w:rPr>
        <w:t>Degener</w:t>
      </w:r>
      <w:proofErr w:type="spellEnd"/>
      <w:r w:rsidR="00E77CB3" w:rsidRPr="00861072">
        <w:rPr>
          <w:lang w:val="fr-FR"/>
        </w:rPr>
        <w:tab/>
      </w:r>
      <w:r w:rsidR="003C726B" w:rsidRPr="00861072">
        <w:rPr>
          <w:lang w:val="fr-FR"/>
        </w:rPr>
        <w:t xml:space="preserve">Kristina </w:t>
      </w:r>
      <w:proofErr w:type="spellStart"/>
      <w:r w:rsidR="003C726B" w:rsidRPr="00861072">
        <w:rPr>
          <w:lang w:val="fr-FR"/>
        </w:rPr>
        <w:t>Pardalos</w:t>
      </w:r>
      <w:proofErr w:type="spellEnd"/>
      <w:r w:rsidR="00E77CB3" w:rsidRPr="00861072">
        <w:rPr>
          <w:lang w:val="fr-FR"/>
        </w:rPr>
        <w:br/>
      </w:r>
      <w:r w:rsidR="00E77CB3" w:rsidRPr="00861072">
        <w:rPr>
          <w:lang w:val="fr-FR"/>
        </w:rPr>
        <w:tab/>
      </w:r>
      <w:r w:rsidR="00E52443" w:rsidRPr="00861072">
        <w:rPr>
          <w:lang w:val="fr-FR"/>
        </w:rPr>
        <w:t>Greffière adjointe</w:t>
      </w:r>
      <w:r w:rsidR="00E77CB3" w:rsidRPr="00861072">
        <w:rPr>
          <w:lang w:val="fr-FR"/>
        </w:rPr>
        <w:tab/>
      </w:r>
      <w:r w:rsidR="00E52443" w:rsidRPr="00861072">
        <w:rPr>
          <w:szCs w:val="24"/>
          <w:lang w:val="fr-FR"/>
        </w:rPr>
        <w:t>Présidente</w:t>
      </w:r>
    </w:p>
    <w:sectPr w:rsidR="00E77CB3" w:rsidRPr="00861072" w:rsidSect="00647103">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01" w:rsidRPr="007C1C7F" w:rsidRDefault="00335701" w:rsidP="00E77CB3">
      <w:pPr>
        <w:rPr>
          <w:lang w:val="fr-FR"/>
        </w:rPr>
      </w:pPr>
      <w:r w:rsidRPr="007C1C7F">
        <w:rPr>
          <w:lang w:val="fr-FR"/>
        </w:rPr>
        <w:separator/>
      </w:r>
    </w:p>
  </w:endnote>
  <w:endnote w:type="continuationSeparator" w:id="0">
    <w:p w:rsidR="00335701" w:rsidRPr="007C1C7F" w:rsidRDefault="00335701" w:rsidP="00E77CB3">
      <w:pPr>
        <w:rPr>
          <w:lang w:val="fr-FR"/>
        </w:rPr>
      </w:pPr>
      <w:r w:rsidRPr="007C1C7F">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03" w:rsidRPr="00150BFA" w:rsidRDefault="00647103" w:rsidP="0020718E">
    <w:pPr>
      <w:jc w:val="center"/>
    </w:pPr>
    <w:r>
      <w:rPr>
        <w:noProof/>
        <w:lang w:val="it-IT" w:eastAsia="it-IT"/>
      </w:rPr>
      <w:drawing>
        <wp:inline distT="0" distB="0" distL="0" distR="0" wp14:anchorId="7BF978C1" wp14:editId="2C9A830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647103" w:rsidRDefault="006471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01" w:rsidRPr="007C1C7F" w:rsidRDefault="00335701" w:rsidP="00E77CB3">
      <w:pPr>
        <w:rPr>
          <w:lang w:val="fr-FR"/>
        </w:rPr>
      </w:pPr>
      <w:r w:rsidRPr="007C1C7F">
        <w:rPr>
          <w:lang w:val="fr-FR"/>
        </w:rPr>
        <w:separator/>
      </w:r>
    </w:p>
  </w:footnote>
  <w:footnote w:type="continuationSeparator" w:id="0">
    <w:p w:rsidR="00335701" w:rsidRPr="007C1C7F" w:rsidRDefault="00335701" w:rsidP="00E77CB3">
      <w:pPr>
        <w:rPr>
          <w:lang w:val="fr-FR"/>
        </w:rPr>
      </w:pPr>
      <w:r w:rsidRPr="007C1C7F">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DE3" w:rsidRPr="00647103" w:rsidRDefault="008A1DE3" w:rsidP="00647103">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03" w:rsidRPr="00A45145" w:rsidRDefault="00647103" w:rsidP="00A45145">
    <w:pPr>
      <w:jc w:val="center"/>
    </w:pPr>
    <w:r>
      <w:rPr>
        <w:noProof/>
        <w:lang w:val="it-IT" w:eastAsia="it-IT"/>
      </w:rPr>
      <w:drawing>
        <wp:inline distT="0" distB="0" distL="0" distR="0" wp14:anchorId="5986178E" wp14:editId="08428BC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3F32AF" w:rsidRDefault="003F32A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03" w:rsidRPr="00152344" w:rsidRDefault="00647103" w:rsidP="00C611D8">
    <w:pPr>
      <w:pStyle w:val="ECHRHeader"/>
      <w:rPr>
        <w:lang w:val="fr-FR"/>
      </w:rPr>
    </w:pPr>
    <w:r>
      <w:rPr>
        <w:rStyle w:val="Numeropagina"/>
      </w:rPr>
      <w:fldChar w:fldCharType="begin"/>
    </w:r>
    <w:r w:rsidRPr="00152344">
      <w:rPr>
        <w:rStyle w:val="Numeropagina"/>
        <w:lang w:val="fr-FR"/>
      </w:rPr>
      <w:instrText xml:space="preserve"> PAGE </w:instrText>
    </w:r>
    <w:r>
      <w:rPr>
        <w:rStyle w:val="Numeropagina"/>
      </w:rPr>
      <w:fldChar w:fldCharType="separate"/>
    </w:r>
    <w:r w:rsidR="00303DAB">
      <w:rPr>
        <w:rStyle w:val="Numeropagina"/>
        <w:noProof/>
        <w:lang w:val="fr-FR"/>
      </w:rPr>
      <w:t>8</w:t>
    </w:r>
    <w:r>
      <w:rPr>
        <w:rStyle w:val="Numeropagina"/>
      </w:rPr>
      <w:fldChar w:fldCharType="end"/>
    </w:r>
    <w:r w:rsidRPr="00152344">
      <w:rPr>
        <w:rStyle w:val="Numeropagina"/>
        <w:lang w:val="fr-FR"/>
      </w:rPr>
      <w:tab/>
    </w:r>
    <w:r>
      <w:rPr>
        <w:noProof/>
        <w:lang w:val="fr-FR"/>
      </w:rPr>
      <w:t>ARRÊT</w:t>
    </w:r>
    <w:r w:rsidRPr="00152344">
      <w:rPr>
        <w:lang w:val="fr-FR"/>
      </w:rPr>
      <w:t xml:space="preserve"> CONTI ET LORI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03" w:rsidRPr="00152344" w:rsidRDefault="00647103" w:rsidP="00C63990">
    <w:pPr>
      <w:pStyle w:val="ECHRHeader"/>
      <w:rPr>
        <w:lang w:val="fr-FR"/>
      </w:rPr>
    </w:pPr>
    <w:r w:rsidRPr="007C1C7F">
      <w:rPr>
        <w:lang w:val="fr-FR"/>
      </w:rPr>
      <w:tab/>
    </w:r>
    <w:r>
      <w:rPr>
        <w:noProof/>
        <w:lang w:val="fr-FR"/>
      </w:rPr>
      <w:t>ARRÊT</w:t>
    </w:r>
    <w:r w:rsidRPr="00152344">
      <w:rPr>
        <w:lang w:val="fr-FR"/>
      </w:rPr>
      <w:t xml:space="preserve"> CONTI ET LORI c. ITALIE</w:t>
    </w:r>
    <w:r w:rsidRPr="00152344">
      <w:rPr>
        <w:lang w:val="fr-FR"/>
      </w:rPr>
      <w:tab/>
    </w:r>
    <w:r>
      <w:rPr>
        <w:rStyle w:val="Numeropagina"/>
      </w:rPr>
      <w:fldChar w:fldCharType="begin"/>
    </w:r>
    <w:r w:rsidRPr="00152344">
      <w:rPr>
        <w:rStyle w:val="Numeropagina"/>
        <w:lang w:val="fr-FR"/>
      </w:rPr>
      <w:instrText xml:space="preserve"> PAGE </w:instrText>
    </w:r>
    <w:r>
      <w:rPr>
        <w:rStyle w:val="Numeropagina"/>
      </w:rPr>
      <w:fldChar w:fldCharType="separate"/>
    </w:r>
    <w:r w:rsidR="00303DAB">
      <w:rPr>
        <w:rStyle w:val="Numeropagina"/>
        <w:noProof/>
        <w:lang w:val="fr-FR"/>
      </w:rPr>
      <w:t>9</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E52443"/>
    <w:rsid w:val="000041F8"/>
    <w:rsid w:val="000042A8"/>
    <w:rsid w:val="00004308"/>
    <w:rsid w:val="00005BF0"/>
    <w:rsid w:val="00007154"/>
    <w:rsid w:val="000103AE"/>
    <w:rsid w:val="00011496"/>
    <w:rsid w:val="00011D69"/>
    <w:rsid w:val="00012AD3"/>
    <w:rsid w:val="00015C2D"/>
    <w:rsid w:val="00015F00"/>
    <w:rsid w:val="00022C1D"/>
    <w:rsid w:val="00024C41"/>
    <w:rsid w:val="00025879"/>
    <w:rsid w:val="00025A1F"/>
    <w:rsid w:val="00030815"/>
    <w:rsid w:val="00031347"/>
    <w:rsid w:val="00034987"/>
    <w:rsid w:val="00035334"/>
    <w:rsid w:val="00037D46"/>
    <w:rsid w:val="000409AD"/>
    <w:rsid w:val="00043744"/>
    <w:rsid w:val="00043A74"/>
    <w:rsid w:val="00052BFE"/>
    <w:rsid w:val="000538F9"/>
    <w:rsid w:val="00055CFC"/>
    <w:rsid w:val="00057FDC"/>
    <w:rsid w:val="000602DF"/>
    <w:rsid w:val="00060790"/>
    <w:rsid w:val="00061B05"/>
    <w:rsid w:val="000632D5"/>
    <w:rsid w:val="00064054"/>
    <w:rsid w:val="000644EE"/>
    <w:rsid w:val="00066A71"/>
    <w:rsid w:val="000731AC"/>
    <w:rsid w:val="0007646E"/>
    <w:rsid w:val="0008694B"/>
    <w:rsid w:val="000917D6"/>
    <w:rsid w:val="000925AD"/>
    <w:rsid w:val="000959B5"/>
    <w:rsid w:val="000A0B0B"/>
    <w:rsid w:val="000A24EB"/>
    <w:rsid w:val="000A3E60"/>
    <w:rsid w:val="000A6DC6"/>
    <w:rsid w:val="000B6923"/>
    <w:rsid w:val="000C5F3C"/>
    <w:rsid w:val="000C6DCC"/>
    <w:rsid w:val="000C7EF0"/>
    <w:rsid w:val="000D0B0D"/>
    <w:rsid w:val="000D47AA"/>
    <w:rsid w:val="000D721F"/>
    <w:rsid w:val="000E069B"/>
    <w:rsid w:val="000E0E82"/>
    <w:rsid w:val="000E1DC5"/>
    <w:rsid w:val="000E223F"/>
    <w:rsid w:val="000E2CE7"/>
    <w:rsid w:val="000E3A0A"/>
    <w:rsid w:val="000E5A6B"/>
    <w:rsid w:val="000E7D45"/>
    <w:rsid w:val="000F00EF"/>
    <w:rsid w:val="000F71AB"/>
    <w:rsid w:val="000F7851"/>
    <w:rsid w:val="00104E23"/>
    <w:rsid w:val="0010636D"/>
    <w:rsid w:val="00111452"/>
    <w:rsid w:val="00111B0C"/>
    <w:rsid w:val="00116DC2"/>
    <w:rsid w:val="00120D6C"/>
    <w:rsid w:val="001257EC"/>
    <w:rsid w:val="0013052E"/>
    <w:rsid w:val="00132695"/>
    <w:rsid w:val="00133D33"/>
    <w:rsid w:val="00134D64"/>
    <w:rsid w:val="00135A30"/>
    <w:rsid w:val="0013612C"/>
    <w:rsid w:val="001361F8"/>
    <w:rsid w:val="00137FF6"/>
    <w:rsid w:val="00141650"/>
    <w:rsid w:val="00141CFC"/>
    <w:rsid w:val="00142B9D"/>
    <w:rsid w:val="00143199"/>
    <w:rsid w:val="00144F4A"/>
    <w:rsid w:val="00146CDE"/>
    <w:rsid w:val="001516A3"/>
    <w:rsid w:val="00152344"/>
    <w:rsid w:val="0016174F"/>
    <w:rsid w:val="001619D7"/>
    <w:rsid w:val="00161E67"/>
    <w:rsid w:val="00162A12"/>
    <w:rsid w:val="00163CB4"/>
    <w:rsid w:val="00166530"/>
    <w:rsid w:val="0017361E"/>
    <w:rsid w:val="00176CD0"/>
    <w:rsid w:val="001832BD"/>
    <w:rsid w:val="00191C1E"/>
    <w:rsid w:val="00192612"/>
    <w:rsid w:val="001943B5"/>
    <w:rsid w:val="00195134"/>
    <w:rsid w:val="00195D19"/>
    <w:rsid w:val="001973AD"/>
    <w:rsid w:val="001A145B"/>
    <w:rsid w:val="001A3EF2"/>
    <w:rsid w:val="001A674C"/>
    <w:rsid w:val="001A6DAE"/>
    <w:rsid w:val="001B13B7"/>
    <w:rsid w:val="001B3B24"/>
    <w:rsid w:val="001B69D5"/>
    <w:rsid w:val="001B7851"/>
    <w:rsid w:val="001C0F98"/>
    <w:rsid w:val="001C2A42"/>
    <w:rsid w:val="001C3531"/>
    <w:rsid w:val="001C41FA"/>
    <w:rsid w:val="001D25F3"/>
    <w:rsid w:val="001D3A50"/>
    <w:rsid w:val="001D63ED"/>
    <w:rsid w:val="001D7348"/>
    <w:rsid w:val="001E035B"/>
    <w:rsid w:val="001E0961"/>
    <w:rsid w:val="001E0B6D"/>
    <w:rsid w:val="001E3EAE"/>
    <w:rsid w:val="001E6F32"/>
    <w:rsid w:val="001F2145"/>
    <w:rsid w:val="001F4E43"/>
    <w:rsid w:val="001F6262"/>
    <w:rsid w:val="001F67B0"/>
    <w:rsid w:val="001F6F11"/>
    <w:rsid w:val="001F7B3D"/>
    <w:rsid w:val="001F7C74"/>
    <w:rsid w:val="00202F2D"/>
    <w:rsid w:val="00205F9F"/>
    <w:rsid w:val="00210338"/>
    <w:rsid w:val="002115FC"/>
    <w:rsid w:val="00212D91"/>
    <w:rsid w:val="00213A89"/>
    <w:rsid w:val="0021423C"/>
    <w:rsid w:val="0022019D"/>
    <w:rsid w:val="00227BFD"/>
    <w:rsid w:val="00230D00"/>
    <w:rsid w:val="00231D9A"/>
    <w:rsid w:val="00231DF7"/>
    <w:rsid w:val="00231FD1"/>
    <w:rsid w:val="002328F2"/>
    <w:rsid w:val="002339E0"/>
    <w:rsid w:val="00233CF8"/>
    <w:rsid w:val="0023575D"/>
    <w:rsid w:val="00235A97"/>
    <w:rsid w:val="00237148"/>
    <w:rsid w:val="0024222D"/>
    <w:rsid w:val="00243432"/>
    <w:rsid w:val="002437B6"/>
    <w:rsid w:val="00244B0E"/>
    <w:rsid w:val="00244F6C"/>
    <w:rsid w:val="00246ABB"/>
    <w:rsid w:val="002532C5"/>
    <w:rsid w:val="00253854"/>
    <w:rsid w:val="00260C03"/>
    <w:rsid w:val="0026540E"/>
    <w:rsid w:val="0027079C"/>
    <w:rsid w:val="00271D6A"/>
    <w:rsid w:val="00275123"/>
    <w:rsid w:val="00282240"/>
    <w:rsid w:val="00282583"/>
    <w:rsid w:val="00286754"/>
    <w:rsid w:val="00291379"/>
    <w:rsid w:val="002948AD"/>
    <w:rsid w:val="002A01CC"/>
    <w:rsid w:val="002A5450"/>
    <w:rsid w:val="002A61B1"/>
    <w:rsid w:val="002A663C"/>
    <w:rsid w:val="002B0686"/>
    <w:rsid w:val="002B1B51"/>
    <w:rsid w:val="002B1E73"/>
    <w:rsid w:val="002B444B"/>
    <w:rsid w:val="002B5887"/>
    <w:rsid w:val="002C0E27"/>
    <w:rsid w:val="002C2BD7"/>
    <w:rsid w:val="002C3040"/>
    <w:rsid w:val="002C41E7"/>
    <w:rsid w:val="002C6EA2"/>
    <w:rsid w:val="002D022D"/>
    <w:rsid w:val="002D0297"/>
    <w:rsid w:val="002D1DF4"/>
    <w:rsid w:val="002D23B6"/>
    <w:rsid w:val="002D24BB"/>
    <w:rsid w:val="002E02CB"/>
    <w:rsid w:val="002F1032"/>
    <w:rsid w:val="002F2AF7"/>
    <w:rsid w:val="002F6B1D"/>
    <w:rsid w:val="002F7E1C"/>
    <w:rsid w:val="00301A75"/>
    <w:rsid w:val="00302F70"/>
    <w:rsid w:val="0030336F"/>
    <w:rsid w:val="0030375E"/>
    <w:rsid w:val="00303DAB"/>
    <w:rsid w:val="00310617"/>
    <w:rsid w:val="00311896"/>
    <w:rsid w:val="00312A30"/>
    <w:rsid w:val="003157F2"/>
    <w:rsid w:val="00317406"/>
    <w:rsid w:val="003175BA"/>
    <w:rsid w:val="00320F72"/>
    <w:rsid w:val="00323E9B"/>
    <w:rsid w:val="0032463E"/>
    <w:rsid w:val="003252F0"/>
    <w:rsid w:val="00326224"/>
    <w:rsid w:val="003272CC"/>
    <w:rsid w:val="00333160"/>
    <w:rsid w:val="00335701"/>
    <w:rsid w:val="00337EE4"/>
    <w:rsid w:val="00340FFD"/>
    <w:rsid w:val="00342AEB"/>
    <w:rsid w:val="00347339"/>
    <w:rsid w:val="003506B1"/>
    <w:rsid w:val="00354F8C"/>
    <w:rsid w:val="00356AC7"/>
    <w:rsid w:val="00360179"/>
    <w:rsid w:val="003609FA"/>
    <w:rsid w:val="00367A2B"/>
    <w:rsid w:val="003710C8"/>
    <w:rsid w:val="003728C7"/>
    <w:rsid w:val="0037442C"/>
    <w:rsid w:val="003750BE"/>
    <w:rsid w:val="00384D70"/>
    <w:rsid w:val="00387B9D"/>
    <w:rsid w:val="00387C16"/>
    <w:rsid w:val="0039364F"/>
    <w:rsid w:val="00396686"/>
    <w:rsid w:val="0039778E"/>
    <w:rsid w:val="003A58A8"/>
    <w:rsid w:val="003B2814"/>
    <w:rsid w:val="003B4941"/>
    <w:rsid w:val="003C4F60"/>
    <w:rsid w:val="003C56EB"/>
    <w:rsid w:val="003C5714"/>
    <w:rsid w:val="003C6B9F"/>
    <w:rsid w:val="003C6E2A"/>
    <w:rsid w:val="003C70D7"/>
    <w:rsid w:val="003C726B"/>
    <w:rsid w:val="003D0299"/>
    <w:rsid w:val="003D37C7"/>
    <w:rsid w:val="003D6552"/>
    <w:rsid w:val="003E6D80"/>
    <w:rsid w:val="003E731A"/>
    <w:rsid w:val="003F05FA"/>
    <w:rsid w:val="003F244A"/>
    <w:rsid w:val="003F30B8"/>
    <w:rsid w:val="003F32AF"/>
    <w:rsid w:val="003F4338"/>
    <w:rsid w:val="003F4C45"/>
    <w:rsid w:val="003F5F7B"/>
    <w:rsid w:val="003F6374"/>
    <w:rsid w:val="003F6AA4"/>
    <w:rsid w:val="003F7D64"/>
    <w:rsid w:val="00410CF8"/>
    <w:rsid w:val="00414300"/>
    <w:rsid w:val="004147EA"/>
    <w:rsid w:val="004222FF"/>
    <w:rsid w:val="00425C67"/>
    <w:rsid w:val="00427E7A"/>
    <w:rsid w:val="00432629"/>
    <w:rsid w:val="00434EC4"/>
    <w:rsid w:val="00436C49"/>
    <w:rsid w:val="00437BB9"/>
    <w:rsid w:val="00445366"/>
    <w:rsid w:val="00447F5B"/>
    <w:rsid w:val="0045067D"/>
    <w:rsid w:val="00461DB0"/>
    <w:rsid w:val="00463926"/>
    <w:rsid w:val="00464C9A"/>
    <w:rsid w:val="00470A47"/>
    <w:rsid w:val="004721C1"/>
    <w:rsid w:val="004741F5"/>
    <w:rsid w:val="00474F3D"/>
    <w:rsid w:val="004763E8"/>
    <w:rsid w:val="00477E3A"/>
    <w:rsid w:val="00483E5F"/>
    <w:rsid w:val="00485FF9"/>
    <w:rsid w:val="004907F0"/>
    <w:rsid w:val="0049140B"/>
    <w:rsid w:val="00491DC7"/>
    <w:rsid w:val="004922E6"/>
    <w:rsid w:val="004923A5"/>
    <w:rsid w:val="004963B2"/>
    <w:rsid w:val="00496BFB"/>
    <w:rsid w:val="004A15C7"/>
    <w:rsid w:val="004A2F0B"/>
    <w:rsid w:val="004B013B"/>
    <w:rsid w:val="004B112B"/>
    <w:rsid w:val="004C01E4"/>
    <w:rsid w:val="004C086C"/>
    <w:rsid w:val="004C1CFC"/>
    <w:rsid w:val="004C1F56"/>
    <w:rsid w:val="004C27BC"/>
    <w:rsid w:val="004D15F3"/>
    <w:rsid w:val="004D5311"/>
    <w:rsid w:val="004D5DCC"/>
    <w:rsid w:val="004E001C"/>
    <w:rsid w:val="004E1CC4"/>
    <w:rsid w:val="004E2740"/>
    <w:rsid w:val="004F10AF"/>
    <w:rsid w:val="004F11A4"/>
    <w:rsid w:val="004F2389"/>
    <w:rsid w:val="004F2979"/>
    <w:rsid w:val="004F304D"/>
    <w:rsid w:val="004F5D4C"/>
    <w:rsid w:val="004F61BE"/>
    <w:rsid w:val="004F66B1"/>
    <w:rsid w:val="004F6DAE"/>
    <w:rsid w:val="005029CE"/>
    <w:rsid w:val="005116E9"/>
    <w:rsid w:val="00511C07"/>
    <w:rsid w:val="00511FF6"/>
    <w:rsid w:val="005173A6"/>
    <w:rsid w:val="00520BAA"/>
    <w:rsid w:val="005242EC"/>
    <w:rsid w:val="00524890"/>
    <w:rsid w:val="00525208"/>
    <w:rsid w:val="005257A5"/>
    <w:rsid w:val="005264C0"/>
    <w:rsid w:val="00526A8A"/>
    <w:rsid w:val="00531DF2"/>
    <w:rsid w:val="00533D8C"/>
    <w:rsid w:val="005442EE"/>
    <w:rsid w:val="00547353"/>
    <w:rsid w:val="005474E7"/>
    <w:rsid w:val="00550C0C"/>
    <w:rsid w:val="005512A3"/>
    <w:rsid w:val="0055258E"/>
    <w:rsid w:val="00552598"/>
    <w:rsid w:val="00553E3F"/>
    <w:rsid w:val="005545D5"/>
    <w:rsid w:val="005578CE"/>
    <w:rsid w:val="00562781"/>
    <w:rsid w:val="00566E67"/>
    <w:rsid w:val="0057271C"/>
    <w:rsid w:val="00572845"/>
    <w:rsid w:val="00574A27"/>
    <w:rsid w:val="00574C83"/>
    <w:rsid w:val="005765D0"/>
    <w:rsid w:val="00591CAB"/>
    <w:rsid w:val="00592772"/>
    <w:rsid w:val="0059574A"/>
    <w:rsid w:val="005963B3"/>
    <w:rsid w:val="00596468"/>
    <w:rsid w:val="005A02CB"/>
    <w:rsid w:val="005A1B9B"/>
    <w:rsid w:val="005A6751"/>
    <w:rsid w:val="005B092E"/>
    <w:rsid w:val="005B152C"/>
    <w:rsid w:val="005B1EE0"/>
    <w:rsid w:val="005B2B24"/>
    <w:rsid w:val="005B4425"/>
    <w:rsid w:val="005B4B94"/>
    <w:rsid w:val="005B7BB0"/>
    <w:rsid w:val="005B7EE4"/>
    <w:rsid w:val="005C2B32"/>
    <w:rsid w:val="005C3EE8"/>
    <w:rsid w:val="005C6A10"/>
    <w:rsid w:val="005D34F9"/>
    <w:rsid w:val="005D4190"/>
    <w:rsid w:val="005D67A3"/>
    <w:rsid w:val="005E2988"/>
    <w:rsid w:val="005E3085"/>
    <w:rsid w:val="005E3331"/>
    <w:rsid w:val="005E3412"/>
    <w:rsid w:val="005E372F"/>
    <w:rsid w:val="005E37C6"/>
    <w:rsid w:val="005F51E1"/>
    <w:rsid w:val="00611C80"/>
    <w:rsid w:val="00611D7D"/>
    <w:rsid w:val="00617E0D"/>
    <w:rsid w:val="00620692"/>
    <w:rsid w:val="006242CA"/>
    <w:rsid w:val="006272F4"/>
    <w:rsid w:val="00627507"/>
    <w:rsid w:val="0063042E"/>
    <w:rsid w:val="0063168A"/>
    <w:rsid w:val="00633717"/>
    <w:rsid w:val="006344E1"/>
    <w:rsid w:val="0064092A"/>
    <w:rsid w:val="00645A3F"/>
    <w:rsid w:val="00646454"/>
    <w:rsid w:val="00647103"/>
    <w:rsid w:val="0065298D"/>
    <w:rsid w:val="006545C4"/>
    <w:rsid w:val="00656B36"/>
    <w:rsid w:val="00661971"/>
    <w:rsid w:val="00661CE8"/>
    <w:rsid w:val="006623D9"/>
    <w:rsid w:val="0066550C"/>
    <w:rsid w:val="00667B26"/>
    <w:rsid w:val="00667EFE"/>
    <w:rsid w:val="0067088A"/>
    <w:rsid w:val="006716F2"/>
    <w:rsid w:val="00676662"/>
    <w:rsid w:val="0067756F"/>
    <w:rsid w:val="00677B2C"/>
    <w:rsid w:val="00682BF2"/>
    <w:rsid w:val="006859CE"/>
    <w:rsid w:val="00691270"/>
    <w:rsid w:val="0069473E"/>
    <w:rsid w:val="00694A2E"/>
    <w:rsid w:val="00694BA8"/>
    <w:rsid w:val="00694FF2"/>
    <w:rsid w:val="006957A5"/>
    <w:rsid w:val="006A037C"/>
    <w:rsid w:val="006A36F4"/>
    <w:rsid w:val="006A406F"/>
    <w:rsid w:val="006A5D3A"/>
    <w:rsid w:val="006A6DED"/>
    <w:rsid w:val="006B14CB"/>
    <w:rsid w:val="006C1BCB"/>
    <w:rsid w:val="006C23D4"/>
    <w:rsid w:val="006C2EDA"/>
    <w:rsid w:val="006C4355"/>
    <w:rsid w:val="006C578D"/>
    <w:rsid w:val="006C64BE"/>
    <w:rsid w:val="006C7BB0"/>
    <w:rsid w:val="006D2861"/>
    <w:rsid w:val="006D2D53"/>
    <w:rsid w:val="006D3237"/>
    <w:rsid w:val="006D353A"/>
    <w:rsid w:val="006D3D89"/>
    <w:rsid w:val="006D5FD1"/>
    <w:rsid w:val="006E2E37"/>
    <w:rsid w:val="006E3CF1"/>
    <w:rsid w:val="006E7E80"/>
    <w:rsid w:val="006F14C2"/>
    <w:rsid w:val="006F48CA"/>
    <w:rsid w:val="006F64DD"/>
    <w:rsid w:val="006F7F64"/>
    <w:rsid w:val="00701B3D"/>
    <w:rsid w:val="00711B9F"/>
    <w:rsid w:val="00715127"/>
    <w:rsid w:val="00715E8E"/>
    <w:rsid w:val="007170FF"/>
    <w:rsid w:val="00723580"/>
    <w:rsid w:val="00723755"/>
    <w:rsid w:val="00731028"/>
    <w:rsid w:val="0073136C"/>
    <w:rsid w:val="00731F0F"/>
    <w:rsid w:val="00733250"/>
    <w:rsid w:val="007344B2"/>
    <w:rsid w:val="00737DA2"/>
    <w:rsid w:val="007400D6"/>
    <w:rsid w:val="00741404"/>
    <w:rsid w:val="00744513"/>
    <w:rsid w:val="007449E5"/>
    <w:rsid w:val="00747196"/>
    <w:rsid w:val="00747FF0"/>
    <w:rsid w:val="007513B3"/>
    <w:rsid w:val="00752278"/>
    <w:rsid w:val="00753A04"/>
    <w:rsid w:val="00754491"/>
    <w:rsid w:val="00764D4E"/>
    <w:rsid w:val="00765A1F"/>
    <w:rsid w:val="00765E04"/>
    <w:rsid w:val="00775B6D"/>
    <w:rsid w:val="00776D68"/>
    <w:rsid w:val="00777C3A"/>
    <w:rsid w:val="00780CF6"/>
    <w:rsid w:val="007824A6"/>
    <w:rsid w:val="00782FCD"/>
    <w:rsid w:val="007850EE"/>
    <w:rsid w:val="00785B95"/>
    <w:rsid w:val="00790E96"/>
    <w:rsid w:val="007914E3"/>
    <w:rsid w:val="00793366"/>
    <w:rsid w:val="007952DA"/>
    <w:rsid w:val="00796B65"/>
    <w:rsid w:val="007A0725"/>
    <w:rsid w:val="007A31A5"/>
    <w:rsid w:val="007A401E"/>
    <w:rsid w:val="007A6174"/>
    <w:rsid w:val="007A716F"/>
    <w:rsid w:val="007B1ED7"/>
    <w:rsid w:val="007B270A"/>
    <w:rsid w:val="007B4B56"/>
    <w:rsid w:val="007C0695"/>
    <w:rsid w:val="007C1C7F"/>
    <w:rsid w:val="007C2915"/>
    <w:rsid w:val="007C419A"/>
    <w:rsid w:val="007C4CC8"/>
    <w:rsid w:val="007C5300"/>
    <w:rsid w:val="007C5426"/>
    <w:rsid w:val="007C5798"/>
    <w:rsid w:val="007C682F"/>
    <w:rsid w:val="007D1DCE"/>
    <w:rsid w:val="007D1F7F"/>
    <w:rsid w:val="007D4832"/>
    <w:rsid w:val="007D49FB"/>
    <w:rsid w:val="007E21B2"/>
    <w:rsid w:val="007E2C4E"/>
    <w:rsid w:val="007E3ED4"/>
    <w:rsid w:val="007E48C2"/>
    <w:rsid w:val="007E5FBE"/>
    <w:rsid w:val="007F1905"/>
    <w:rsid w:val="007F4F51"/>
    <w:rsid w:val="007F6D29"/>
    <w:rsid w:val="00801300"/>
    <w:rsid w:val="00802C64"/>
    <w:rsid w:val="00805E52"/>
    <w:rsid w:val="008061D0"/>
    <w:rsid w:val="00807213"/>
    <w:rsid w:val="0080777C"/>
    <w:rsid w:val="00810B38"/>
    <w:rsid w:val="008111AF"/>
    <w:rsid w:val="008175EF"/>
    <w:rsid w:val="008204C7"/>
    <w:rsid w:val="00820992"/>
    <w:rsid w:val="00823602"/>
    <w:rsid w:val="008255F5"/>
    <w:rsid w:val="00825897"/>
    <w:rsid w:val="00827629"/>
    <w:rsid w:val="0083014E"/>
    <w:rsid w:val="0083214A"/>
    <w:rsid w:val="008323C4"/>
    <w:rsid w:val="00834220"/>
    <w:rsid w:val="00834CB4"/>
    <w:rsid w:val="00840400"/>
    <w:rsid w:val="00842CD9"/>
    <w:rsid w:val="008431E3"/>
    <w:rsid w:val="0084351A"/>
    <w:rsid w:val="00844C8F"/>
    <w:rsid w:val="00845635"/>
    <w:rsid w:val="00845723"/>
    <w:rsid w:val="00847D78"/>
    <w:rsid w:val="00851EF9"/>
    <w:rsid w:val="00853261"/>
    <w:rsid w:val="008577FD"/>
    <w:rsid w:val="00860B03"/>
    <w:rsid w:val="00861072"/>
    <w:rsid w:val="0086191D"/>
    <w:rsid w:val="0086497A"/>
    <w:rsid w:val="00870C78"/>
    <w:rsid w:val="008713A1"/>
    <w:rsid w:val="00873053"/>
    <w:rsid w:val="008754AB"/>
    <w:rsid w:val="00875AB3"/>
    <w:rsid w:val="00876308"/>
    <w:rsid w:val="0088060C"/>
    <w:rsid w:val="00881CE6"/>
    <w:rsid w:val="00882884"/>
    <w:rsid w:val="008851E6"/>
    <w:rsid w:val="00886BB7"/>
    <w:rsid w:val="00893576"/>
    <w:rsid w:val="00893E73"/>
    <w:rsid w:val="0089771E"/>
    <w:rsid w:val="008A0846"/>
    <w:rsid w:val="008A1DE3"/>
    <w:rsid w:val="008A7F8D"/>
    <w:rsid w:val="008B02DC"/>
    <w:rsid w:val="008B2E17"/>
    <w:rsid w:val="008B57CE"/>
    <w:rsid w:val="008C26DE"/>
    <w:rsid w:val="008C6175"/>
    <w:rsid w:val="008D2225"/>
    <w:rsid w:val="008D4752"/>
    <w:rsid w:val="008D7298"/>
    <w:rsid w:val="008E271C"/>
    <w:rsid w:val="008E418E"/>
    <w:rsid w:val="008E5BC6"/>
    <w:rsid w:val="008E6111"/>
    <w:rsid w:val="008E6A25"/>
    <w:rsid w:val="008F5193"/>
    <w:rsid w:val="009013A7"/>
    <w:rsid w:val="009017FB"/>
    <w:rsid w:val="009017FC"/>
    <w:rsid w:val="00903C2E"/>
    <w:rsid w:val="00903E4E"/>
    <w:rsid w:val="0090506B"/>
    <w:rsid w:val="009050C9"/>
    <w:rsid w:val="009066FC"/>
    <w:rsid w:val="00913524"/>
    <w:rsid w:val="009140A3"/>
    <w:rsid w:val="009144A2"/>
    <w:rsid w:val="0091510C"/>
    <w:rsid w:val="00915286"/>
    <w:rsid w:val="00925404"/>
    <w:rsid w:val="009259AC"/>
    <w:rsid w:val="00926AD5"/>
    <w:rsid w:val="00926F38"/>
    <w:rsid w:val="00934301"/>
    <w:rsid w:val="00936C2D"/>
    <w:rsid w:val="00936CD1"/>
    <w:rsid w:val="00937DB8"/>
    <w:rsid w:val="00941747"/>
    <w:rsid w:val="00941EFB"/>
    <w:rsid w:val="00942436"/>
    <w:rsid w:val="00947AFB"/>
    <w:rsid w:val="00950FCD"/>
    <w:rsid w:val="00951194"/>
    <w:rsid w:val="00951D7D"/>
    <w:rsid w:val="0095399C"/>
    <w:rsid w:val="00957A9D"/>
    <w:rsid w:val="009611ED"/>
    <w:rsid w:val="009630C7"/>
    <w:rsid w:val="009677B6"/>
    <w:rsid w:val="00967E34"/>
    <w:rsid w:val="00972B55"/>
    <w:rsid w:val="009743B7"/>
    <w:rsid w:val="009776A2"/>
    <w:rsid w:val="009803F6"/>
    <w:rsid w:val="0098228B"/>
    <w:rsid w:val="009828DA"/>
    <w:rsid w:val="00985BAB"/>
    <w:rsid w:val="00991C52"/>
    <w:rsid w:val="00992D94"/>
    <w:rsid w:val="009A2404"/>
    <w:rsid w:val="009A42BD"/>
    <w:rsid w:val="009A4B8A"/>
    <w:rsid w:val="009B1B5F"/>
    <w:rsid w:val="009B6673"/>
    <w:rsid w:val="009C191B"/>
    <w:rsid w:val="009C1EFA"/>
    <w:rsid w:val="009C1F1B"/>
    <w:rsid w:val="009C2BD6"/>
    <w:rsid w:val="009C5881"/>
    <w:rsid w:val="009D16B0"/>
    <w:rsid w:val="009E1F32"/>
    <w:rsid w:val="009E3880"/>
    <w:rsid w:val="009E776C"/>
    <w:rsid w:val="00A00144"/>
    <w:rsid w:val="00A01A3B"/>
    <w:rsid w:val="00A1726E"/>
    <w:rsid w:val="00A17A35"/>
    <w:rsid w:val="00A204CF"/>
    <w:rsid w:val="00A21586"/>
    <w:rsid w:val="00A23D49"/>
    <w:rsid w:val="00A24924"/>
    <w:rsid w:val="00A2597A"/>
    <w:rsid w:val="00A27004"/>
    <w:rsid w:val="00A30C29"/>
    <w:rsid w:val="00A34DD6"/>
    <w:rsid w:val="00A36819"/>
    <w:rsid w:val="00A36989"/>
    <w:rsid w:val="00A4100B"/>
    <w:rsid w:val="00A43308"/>
    <w:rsid w:val="00A43628"/>
    <w:rsid w:val="00A4520D"/>
    <w:rsid w:val="00A533D9"/>
    <w:rsid w:val="00A54192"/>
    <w:rsid w:val="00A6035E"/>
    <w:rsid w:val="00A6144C"/>
    <w:rsid w:val="00A66617"/>
    <w:rsid w:val="00A671F8"/>
    <w:rsid w:val="00A673A4"/>
    <w:rsid w:val="00A67531"/>
    <w:rsid w:val="00A724AE"/>
    <w:rsid w:val="00A73167"/>
    <w:rsid w:val="00A73329"/>
    <w:rsid w:val="00A74BC1"/>
    <w:rsid w:val="00A767E3"/>
    <w:rsid w:val="00A77E52"/>
    <w:rsid w:val="00A82359"/>
    <w:rsid w:val="00A8486D"/>
    <w:rsid w:val="00A865D2"/>
    <w:rsid w:val="00A94C20"/>
    <w:rsid w:val="00AA227F"/>
    <w:rsid w:val="00AA3BC7"/>
    <w:rsid w:val="00AA754A"/>
    <w:rsid w:val="00AA755B"/>
    <w:rsid w:val="00AB099E"/>
    <w:rsid w:val="00AB1C28"/>
    <w:rsid w:val="00AB3DBD"/>
    <w:rsid w:val="00AB4328"/>
    <w:rsid w:val="00AB71BE"/>
    <w:rsid w:val="00AC0824"/>
    <w:rsid w:val="00AC26DA"/>
    <w:rsid w:val="00AC4EBF"/>
    <w:rsid w:val="00AD412E"/>
    <w:rsid w:val="00AD6879"/>
    <w:rsid w:val="00AD7051"/>
    <w:rsid w:val="00AE0A2E"/>
    <w:rsid w:val="00AE354C"/>
    <w:rsid w:val="00AF2A0D"/>
    <w:rsid w:val="00AF4B07"/>
    <w:rsid w:val="00AF5CC8"/>
    <w:rsid w:val="00AF6186"/>
    <w:rsid w:val="00AF7A3A"/>
    <w:rsid w:val="00AF7AD9"/>
    <w:rsid w:val="00B02D8D"/>
    <w:rsid w:val="00B05FA3"/>
    <w:rsid w:val="00B14911"/>
    <w:rsid w:val="00B160DB"/>
    <w:rsid w:val="00B20836"/>
    <w:rsid w:val="00B21D6A"/>
    <w:rsid w:val="00B235BB"/>
    <w:rsid w:val="00B24794"/>
    <w:rsid w:val="00B277F2"/>
    <w:rsid w:val="00B27A44"/>
    <w:rsid w:val="00B30BBF"/>
    <w:rsid w:val="00B3245E"/>
    <w:rsid w:val="00B33C03"/>
    <w:rsid w:val="00B40B9B"/>
    <w:rsid w:val="00B44E56"/>
    <w:rsid w:val="00B4587E"/>
    <w:rsid w:val="00B45EE8"/>
    <w:rsid w:val="00B4612D"/>
    <w:rsid w:val="00B46543"/>
    <w:rsid w:val="00B47D33"/>
    <w:rsid w:val="00B52BE0"/>
    <w:rsid w:val="00B52CA4"/>
    <w:rsid w:val="00B54133"/>
    <w:rsid w:val="00B636A4"/>
    <w:rsid w:val="00B66A3F"/>
    <w:rsid w:val="00B67A6C"/>
    <w:rsid w:val="00B701ED"/>
    <w:rsid w:val="00B70E3B"/>
    <w:rsid w:val="00B73992"/>
    <w:rsid w:val="00B757BA"/>
    <w:rsid w:val="00B8086C"/>
    <w:rsid w:val="00B83601"/>
    <w:rsid w:val="00B83CB9"/>
    <w:rsid w:val="00B85A04"/>
    <w:rsid w:val="00B85B33"/>
    <w:rsid w:val="00B85BEA"/>
    <w:rsid w:val="00B861B4"/>
    <w:rsid w:val="00B86DFE"/>
    <w:rsid w:val="00B90990"/>
    <w:rsid w:val="00B922FF"/>
    <w:rsid w:val="00B9281E"/>
    <w:rsid w:val="00B93925"/>
    <w:rsid w:val="00B93ECF"/>
    <w:rsid w:val="00B94BB8"/>
    <w:rsid w:val="00B95187"/>
    <w:rsid w:val="00B95A1B"/>
    <w:rsid w:val="00B9776F"/>
    <w:rsid w:val="00BA2D55"/>
    <w:rsid w:val="00BA71B1"/>
    <w:rsid w:val="00BB04A4"/>
    <w:rsid w:val="00BB0637"/>
    <w:rsid w:val="00BB072E"/>
    <w:rsid w:val="00BB345F"/>
    <w:rsid w:val="00BB68EA"/>
    <w:rsid w:val="00BC1C27"/>
    <w:rsid w:val="00BC47F6"/>
    <w:rsid w:val="00BC4A8F"/>
    <w:rsid w:val="00BC6BBF"/>
    <w:rsid w:val="00BD0653"/>
    <w:rsid w:val="00BD1572"/>
    <w:rsid w:val="00BE14E3"/>
    <w:rsid w:val="00BE1A3E"/>
    <w:rsid w:val="00BE3774"/>
    <w:rsid w:val="00BE41E5"/>
    <w:rsid w:val="00BE7FAB"/>
    <w:rsid w:val="00BF02EE"/>
    <w:rsid w:val="00BF4109"/>
    <w:rsid w:val="00BF4CC3"/>
    <w:rsid w:val="00BF5D57"/>
    <w:rsid w:val="00BF671E"/>
    <w:rsid w:val="00C00FC8"/>
    <w:rsid w:val="00C01476"/>
    <w:rsid w:val="00C04305"/>
    <w:rsid w:val="00C0521A"/>
    <w:rsid w:val="00C054C7"/>
    <w:rsid w:val="00C057B5"/>
    <w:rsid w:val="00C067C0"/>
    <w:rsid w:val="00C06E15"/>
    <w:rsid w:val="00C11C3F"/>
    <w:rsid w:val="00C1262B"/>
    <w:rsid w:val="00C222AC"/>
    <w:rsid w:val="00C22687"/>
    <w:rsid w:val="00C23228"/>
    <w:rsid w:val="00C24185"/>
    <w:rsid w:val="00C24B8D"/>
    <w:rsid w:val="00C32E4D"/>
    <w:rsid w:val="00C333A0"/>
    <w:rsid w:val="00C33523"/>
    <w:rsid w:val="00C33A4A"/>
    <w:rsid w:val="00C35372"/>
    <w:rsid w:val="00C36408"/>
    <w:rsid w:val="00C36A81"/>
    <w:rsid w:val="00C41974"/>
    <w:rsid w:val="00C4260A"/>
    <w:rsid w:val="00C46CCD"/>
    <w:rsid w:val="00C4768D"/>
    <w:rsid w:val="00C53F4A"/>
    <w:rsid w:val="00C54125"/>
    <w:rsid w:val="00C55719"/>
    <w:rsid w:val="00C55B54"/>
    <w:rsid w:val="00C576EF"/>
    <w:rsid w:val="00C6098E"/>
    <w:rsid w:val="00C611D8"/>
    <w:rsid w:val="00C6152C"/>
    <w:rsid w:val="00C63990"/>
    <w:rsid w:val="00C64EF6"/>
    <w:rsid w:val="00C65050"/>
    <w:rsid w:val="00C72E9D"/>
    <w:rsid w:val="00C74810"/>
    <w:rsid w:val="00C77ED1"/>
    <w:rsid w:val="00C8339C"/>
    <w:rsid w:val="00C855FC"/>
    <w:rsid w:val="00C86A0A"/>
    <w:rsid w:val="00C90D68"/>
    <w:rsid w:val="00C91601"/>
    <w:rsid w:val="00C939FE"/>
    <w:rsid w:val="00C96574"/>
    <w:rsid w:val="00CA3037"/>
    <w:rsid w:val="00CA4BDA"/>
    <w:rsid w:val="00CB1F66"/>
    <w:rsid w:val="00CB2951"/>
    <w:rsid w:val="00CB2E2C"/>
    <w:rsid w:val="00CB545A"/>
    <w:rsid w:val="00CB6F12"/>
    <w:rsid w:val="00CC3FE5"/>
    <w:rsid w:val="00CC71E6"/>
    <w:rsid w:val="00CD16F8"/>
    <w:rsid w:val="00CD282B"/>
    <w:rsid w:val="00CD45A2"/>
    <w:rsid w:val="00CD4C35"/>
    <w:rsid w:val="00CD5BEE"/>
    <w:rsid w:val="00CD7369"/>
    <w:rsid w:val="00CE0B0E"/>
    <w:rsid w:val="00CE3831"/>
    <w:rsid w:val="00CF1D75"/>
    <w:rsid w:val="00CF75E2"/>
    <w:rsid w:val="00D00ABB"/>
    <w:rsid w:val="00D024BB"/>
    <w:rsid w:val="00D02EEC"/>
    <w:rsid w:val="00D03551"/>
    <w:rsid w:val="00D0502C"/>
    <w:rsid w:val="00D06A63"/>
    <w:rsid w:val="00D07E0E"/>
    <w:rsid w:val="00D11478"/>
    <w:rsid w:val="00D12C8F"/>
    <w:rsid w:val="00D130D9"/>
    <w:rsid w:val="00D15ED0"/>
    <w:rsid w:val="00D20AC4"/>
    <w:rsid w:val="00D2180C"/>
    <w:rsid w:val="00D21B3E"/>
    <w:rsid w:val="00D21FED"/>
    <w:rsid w:val="00D23888"/>
    <w:rsid w:val="00D24251"/>
    <w:rsid w:val="00D250D7"/>
    <w:rsid w:val="00D25D51"/>
    <w:rsid w:val="00D343E2"/>
    <w:rsid w:val="00D361A2"/>
    <w:rsid w:val="00D37C1F"/>
    <w:rsid w:val="00D4059C"/>
    <w:rsid w:val="00D4169B"/>
    <w:rsid w:val="00D42AFF"/>
    <w:rsid w:val="00D44C2E"/>
    <w:rsid w:val="00D45414"/>
    <w:rsid w:val="00D52CE2"/>
    <w:rsid w:val="00D566BD"/>
    <w:rsid w:val="00D576CF"/>
    <w:rsid w:val="00D57A4D"/>
    <w:rsid w:val="00D60AA7"/>
    <w:rsid w:val="00D63160"/>
    <w:rsid w:val="00D6435F"/>
    <w:rsid w:val="00D65A33"/>
    <w:rsid w:val="00D7187A"/>
    <w:rsid w:val="00D75E28"/>
    <w:rsid w:val="00D772C2"/>
    <w:rsid w:val="00D8008E"/>
    <w:rsid w:val="00D81D65"/>
    <w:rsid w:val="00D82C45"/>
    <w:rsid w:val="00D84B21"/>
    <w:rsid w:val="00D9049E"/>
    <w:rsid w:val="00D908A8"/>
    <w:rsid w:val="00D9729D"/>
    <w:rsid w:val="00D977B6"/>
    <w:rsid w:val="00DA4A31"/>
    <w:rsid w:val="00DA7B04"/>
    <w:rsid w:val="00DB36C2"/>
    <w:rsid w:val="00DB6140"/>
    <w:rsid w:val="00DC169B"/>
    <w:rsid w:val="00DC2528"/>
    <w:rsid w:val="00DC2AB9"/>
    <w:rsid w:val="00DC63F0"/>
    <w:rsid w:val="00DD470E"/>
    <w:rsid w:val="00DD4AAB"/>
    <w:rsid w:val="00DD5146"/>
    <w:rsid w:val="00DD69F3"/>
    <w:rsid w:val="00DD6EE5"/>
    <w:rsid w:val="00DE1B1E"/>
    <w:rsid w:val="00DE386C"/>
    <w:rsid w:val="00DE4D35"/>
    <w:rsid w:val="00DE572F"/>
    <w:rsid w:val="00DF0410"/>
    <w:rsid w:val="00DF098B"/>
    <w:rsid w:val="00DF11C4"/>
    <w:rsid w:val="00DF210C"/>
    <w:rsid w:val="00DF4B6A"/>
    <w:rsid w:val="00E01E65"/>
    <w:rsid w:val="00E02C09"/>
    <w:rsid w:val="00E04D59"/>
    <w:rsid w:val="00E07DA1"/>
    <w:rsid w:val="00E123CB"/>
    <w:rsid w:val="00E130A7"/>
    <w:rsid w:val="00E177B5"/>
    <w:rsid w:val="00E20E13"/>
    <w:rsid w:val="00E21DBC"/>
    <w:rsid w:val="00E26990"/>
    <w:rsid w:val="00E275D7"/>
    <w:rsid w:val="00E27DBE"/>
    <w:rsid w:val="00E31471"/>
    <w:rsid w:val="00E32AB1"/>
    <w:rsid w:val="00E34E73"/>
    <w:rsid w:val="00E36C71"/>
    <w:rsid w:val="00E36FB0"/>
    <w:rsid w:val="00E370BF"/>
    <w:rsid w:val="00E373F5"/>
    <w:rsid w:val="00E37C32"/>
    <w:rsid w:val="00E40404"/>
    <w:rsid w:val="00E40595"/>
    <w:rsid w:val="00E4407B"/>
    <w:rsid w:val="00E446C5"/>
    <w:rsid w:val="00E4529A"/>
    <w:rsid w:val="00E459C6"/>
    <w:rsid w:val="00E47589"/>
    <w:rsid w:val="00E52443"/>
    <w:rsid w:val="00E55D22"/>
    <w:rsid w:val="00E570A5"/>
    <w:rsid w:val="00E6452B"/>
    <w:rsid w:val="00E64915"/>
    <w:rsid w:val="00E661D4"/>
    <w:rsid w:val="00E70091"/>
    <w:rsid w:val="00E70878"/>
    <w:rsid w:val="00E71864"/>
    <w:rsid w:val="00E720F5"/>
    <w:rsid w:val="00E76D47"/>
    <w:rsid w:val="00E77CB3"/>
    <w:rsid w:val="00E77E14"/>
    <w:rsid w:val="00E849F7"/>
    <w:rsid w:val="00E852D2"/>
    <w:rsid w:val="00E90302"/>
    <w:rsid w:val="00E91CB6"/>
    <w:rsid w:val="00E91D09"/>
    <w:rsid w:val="00E9284C"/>
    <w:rsid w:val="00E97396"/>
    <w:rsid w:val="00EA1759"/>
    <w:rsid w:val="00EA185E"/>
    <w:rsid w:val="00EA2441"/>
    <w:rsid w:val="00EA26E7"/>
    <w:rsid w:val="00EA592A"/>
    <w:rsid w:val="00EB008C"/>
    <w:rsid w:val="00EB14E4"/>
    <w:rsid w:val="00EB2C3F"/>
    <w:rsid w:val="00EB32A5"/>
    <w:rsid w:val="00EB34ED"/>
    <w:rsid w:val="00EB7BE0"/>
    <w:rsid w:val="00EB7E63"/>
    <w:rsid w:val="00EC315E"/>
    <w:rsid w:val="00EC4353"/>
    <w:rsid w:val="00ED077C"/>
    <w:rsid w:val="00ED1190"/>
    <w:rsid w:val="00ED1C23"/>
    <w:rsid w:val="00ED6544"/>
    <w:rsid w:val="00ED6CBC"/>
    <w:rsid w:val="00EE0277"/>
    <w:rsid w:val="00EE1241"/>
    <w:rsid w:val="00EE3E00"/>
    <w:rsid w:val="00EE5DD2"/>
    <w:rsid w:val="00EE76FA"/>
    <w:rsid w:val="00EE7DEE"/>
    <w:rsid w:val="00EF05E3"/>
    <w:rsid w:val="00EF0A2E"/>
    <w:rsid w:val="00EF63C2"/>
    <w:rsid w:val="00EF6759"/>
    <w:rsid w:val="00F00A79"/>
    <w:rsid w:val="00F00E86"/>
    <w:rsid w:val="00F02E42"/>
    <w:rsid w:val="00F07351"/>
    <w:rsid w:val="00F07C1E"/>
    <w:rsid w:val="00F105DB"/>
    <w:rsid w:val="00F132BC"/>
    <w:rsid w:val="00F13D80"/>
    <w:rsid w:val="00F16AAA"/>
    <w:rsid w:val="00F21161"/>
    <w:rsid w:val="00F218EF"/>
    <w:rsid w:val="00F21BC7"/>
    <w:rsid w:val="00F24568"/>
    <w:rsid w:val="00F266A2"/>
    <w:rsid w:val="00F27218"/>
    <w:rsid w:val="00F32269"/>
    <w:rsid w:val="00F41828"/>
    <w:rsid w:val="00F45AFA"/>
    <w:rsid w:val="00F55AD7"/>
    <w:rsid w:val="00F55C04"/>
    <w:rsid w:val="00F56A6F"/>
    <w:rsid w:val="00F5709C"/>
    <w:rsid w:val="00F64EF1"/>
    <w:rsid w:val="00F73EA2"/>
    <w:rsid w:val="00F75605"/>
    <w:rsid w:val="00F812BA"/>
    <w:rsid w:val="00F85F0D"/>
    <w:rsid w:val="00F8765F"/>
    <w:rsid w:val="00F8794E"/>
    <w:rsid w:val="00F90767"/>
    <w:rsid w:val="00F94BF8"/>
    <w:rsid w:val="00F95063"/>
    <w:rsid w:val="00F96162"/>
    <w:rsid w:val="00FA3C96"/>
    <w:rsid w:val="00FA685B"/>
    <w:rsid w:val="00FB0C01"/>
    <w:rsid w:val="00FB0DF0"/>
    <w:rsid w:val="00FB2B45"/>
    <w:rsid w:val="00FB4ECF"/>
    <w:rsid w:val="00FC18F2"/>
    <w:rsid w:val="00FC39E5"/>
    <w:rsid w:val="00FC3A78"/>
    <w:rsid w:val="00FC63E9"/>
    <w:rsid w:val="00FD1005"/>
    <w:rsid w:val="00FD2F09"/>
    <w:rsid w:val="00FD4672"/>
    <w:rsid w:val="00FD6C75"/>
    <w:rsid w:val="00FE71B3"/>
    <w:rsid w:val="00FF245F"/>
    <w:rsid w:val="00FF2637"/>
    <w:rsid w:val="00FF3C8C"/>
    <w:rsid w:val="00FF42C5"/>
    <w:rsid w:val="00FF6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65A33"/>
    <w:pPr>
      <w:jc w:val="both"/>
    </w:pPr>
    <w:rPr>
      <w:rFonts w:eastAsiaTheme="minorEastAsia"/>
      <w:sz w:val="24"/>
    </w:rPr>
  </w:style>
  <w:style w:type="paragraph" w:styleId="Titolo1">
    <w:name w:val="heading 1"/>
    <w:basedOn w:val="Normale"/>
    <w:next w:val="Normale"/>
    <w:link w:val="Titolo1Carattere"/>
    <w:uiPriority w:val="99"/>
    <w:semiHidden/>
    <w:rsid w:val="00D65A3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65A3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65A3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65A3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BB9"/>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65A3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BB9"/>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437BB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437BB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65A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A33"/>
    <w:rPr>
      <w:rFonts w:ascii="Tahoma" w:eastAsiaTheme="minorEastAsia" w:hAnsi="Tahoma" w:cs="Tahoma"/>
      <w:sz w:val="16"/>
      <w:szCs w:val="16"/>
    </w:rPr>
  </w:style>
  <w:style w:type="character" w:styleId="Titolodellibro">
    <w:name w:val="Book Title"/>
    <w:uiPriority w:val="99"/>
    <w:semiHidden/>
    <w:qFormat/>
    <w:rsid w:val="00437BB9"/>
    <w:rPr>
      <w:i/>
      <w:iCs/>
      <w:smallCaps/>
      <w:spacing w:val="5"/>
    </w:rPr>
  </w:style>
  <w:style w:type="paragraph" w:customStyle="1" w:styleId="ECHRHeader">
    <w:name w:val="ECHR_Header"/>
    <w:aliases w:val="Ju_Header"/>
    <w:basedOn w:val="Intestazione"/>
    <w:uiPriority w:val="4"/>
    <w:qFormat/>
    <w:rsid w:val="00437BB9"/>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Pidipagina"/>
    <w:uiPriority w:val="57"/>
    <w:semiHidden/>
    <w:rsid w:val="00D65A33"/>
    <w:pPr>
      <w:jc w:val="left"/>
    </w:pPr>
    <w:rPr>
      <w:sz w:val="8"/>
    </w:rPr>
  </w:style>
  <w:style w:type="character" w:styleId="Enfasigrassetto">
    <w:name w:val="Strong"/>
    <w:uiPriority w:val="99"/>
    <w:semiHidden/>
    <w:qFormat/>
    <w:rsid w:val="00437BB9"/>
    <w:rPr>
      <w:b/>
      <w:bCs/>
    </w:rPr>
  </w:style>
  <w:style w:type="paragraph" w:styleId="Nessunaspaziatura">
    <w:name w:val="No Spacing"/>
    <w:basedOn w:val="Normale"/>
    <w:link w:val="NessunaspaziaturaCarattere"/>
    <w:semiHidden/>
    <w:qFormat/>
    <w:rsid w:val="00437BB9"/>
    <w:rPr>
      <w:sz w:val="22"/>
    </w:rPr>
  </w:style>
  <w:style w:type="character" w:customStyle="1" w:styleId="NessunaspaziaturaCarattere">
    <w:name w:val="Nessuna spaziatura Carattere"/>
    <w:basedOn w:val="Carpredefinitoparagrafo"/>
    <w:link w:val="Nessunaspaziatura"/>
    <w:semiHidden/>
    <w:rsid w:val="00437BB9"/>
    <w:rPr>
      <w:rFonts w:eastAsiaTheme="minorEastAsia"/>
    </w:rPr>
  </w:style>
  <w:style w:type="paragraph" w:customStyle="1" w:styleId="ECHRFooterLine">
    <w:name w:val="ECHR_Footer_Line"/>
    <w:aliases w:val="Footer_Line"/>
    <w:basedOn w:val="Normale"/>
    <w:next w:val="ECHRFooter"/>
    <w:uiPriority w:val="57"/>
    <w:semiHidden/>
    <w:rsid w:val="00D65A33"/>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437BB9"/>
    <w:pPr>
      <w:numPr>
        <w:numId w:val="23"/>
      </w:numPr>
      <w:jc w:val="left"/>
    </w:pPr>
    <w:rPr>
      <w:b/>
      <w:lang w:val="en-GB"/>
    </w:rPr>
  </w:style>
  <w:style w:type="paragraph" w:customStyle="1" w:styleId="OpiPara">
    <w:name w:val="Opi_Para"/>
    <w:basedOn w:val="ECHRPara"/>
    <w:uiPriority w:val="46"/>
    <w:qFormat/>
    <w:rsid w:val="00437BB9"/>
  </w:style>
  <w:style w:type="paragraph" w:customStyle="1" w:styleId="JuParaSub">
    <w:name w:val="Ju_Para_Sub"/>
    <w:basedOn w:val="ECHRPara"/>
    <w:uiPriority w:val="13"/>
    <w:qFormat/>
    <w:rsid w:val="00437BB9"/>
    <w:pPr>
      <w:ind w:left="284"/>
    </w:pPr>
  </w:style>
  <w:style w:type="paragraph" w:customStyle="1" w:styleId="ECHRTitleCentre3">
    <w:name w:val="ECHR_Title_Centre_3"/>
    <w:aliases w:val="Ju_H_Article"/>
    <w:basedOn w:val="Normale"/>
    <w:next w:val="ECHRParaQuote"/>
    <w:uiPriority w:val="27"/>
    <w:qFormat/>
    <w:rsid w:val="00437BB9"/>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437BB9"/>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437BB9"/>
  </w:style>
  <w:style w:type="paragraph" w:customStyle="1" w:styleId="OpiQuot">
    <w:name w:val="Opi_Quot"/>
    <w:basedOn w:val="ECHRParaQuote"/>
    <w:uiPriority w:val="48"/>
    <w:qFormat/>
    <w:rsid w:val="00437BB9"/>
  </w:style>
  <w:style w:type="paragraph" w:customStyle="1" w:styleId="OpiQuotSub">
    <w:name w:val="Opi_Quot_Sub"/>
    <w:basedOn w:val="JuQuotSub"/>
    <w:uiPriority w:val="49"/>
    <w:qFormat/>
    <w:rsid w:val="00437BB9"/>
  </w:style>
  <w:style w:type="paragraph" w:customStyle="1" w:styleId="ECHRTitleCentre2">
    <w:name w:val="ECHR_Title_Centre_2"/>
    <w:aliases w:val="Dec_H_Case"/>
    <w:basedOn w:val="Normale"/>
    <w:next w:val="ECHRPara"/>
    <w:uiPriority w:val="8"/>
    <w:qFormat/>
    <w:rsid w:val="00437BB9"/>
    <w:pPr>
      <w:spacing w:after="240"/>
      <w:jc w:val="center"/>
      <w:outlineLvl w:val="0"/>
    </w:pPr>
    <w:rPr>
      <w:rFonts w:asciiTheme="majorHAnsi" w:hAnsiTheme="majorHAnsi"/>
      <w:lang w:val="en-GB"/>
    </w:rPr>
  </w:style>
  <w:style w:type="paragraph" w:customStyle="1" w:styleId="JuTitle">
    <w:name w:val="Ju_Title"/>
    <w:basedOn w:val="Normale"/>
    <w:next w:val="ECHRPara"/>
    <w:uiPriority w:val="3"/>
    <w:semiHidden/>
    <w:qFormat/>
    <w:rsid w:val="00437BB9"/>
    <w:pPr>
      <w:spacing w:before="720" w:after="240"/>
      <w:jc w:val="center"/>
      <w:outlineLvl w:val="0"/>
    </w:pPr>
    <w:rPr>
      <w:rFonts w:asciiTheme="majorHAnsi" w:hAnsiTheme="majorHAnsi"/>
      <w:b/>
      <w:caps/>
      <w:lang w:val="en-GB"/>
    </w:rPr>
  </w:style>
  <w:style w:type="paragraph" w:styleId="Titolo">
    <w:name w:val="Title"/>
    <w:basedOn w:val="Normale"/>
    <w:next w:val="Normale"/>
    <w:link w:val="TitoloCarattere"/>
    <w:uiPriority w:val="99"/>
    <w:semiHidden/>
    <w:qFormat/>
    <w:rsid w:val="00437BB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437BB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437BB9"/>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Titolo4"/>
    <w:next w:val="ECHRPara"/>
    <w:link w:val="JuHaChar"/>
    <w:uiPriority w:val="22"/>
    <w:qFormat/>
    <w:rsid w:val="00437BB9"/>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437BB9"/>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437BB9"/>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437BB9"/>
    <w:pPr>
      <w:keepNext/>
      <w:keepLines/>
      <w:spacing w:before="240" w:after="120"/>
      <w:ind w:left="1236"/>
    </w:pPr>
    <w:rPr>
      <w:sz w:val="20"/>
      <w:lang w:val="en-GB"/>
    </w:rPr>
  </w:style>
  <w:style w:type="paragraph" w:customStyle="1" w:styleId="JuQuotSub">
    <w:name w:val="Ju_Quot_Sub"/>
    <w:basedOn w:val="ECHRParaQuote"/>
    <w:uiPriority w:val="15"/>
    <w:qFormat/>
    <w:rsid w:val="00437BB9"/>
    <w:pPr>
      <w:ind w:left="567"/>
    </w:pPr>
  </w:style>
  <w:style w:type="paragraph" w:customStyle="1" w:styleId="JuInitialled">
    <w:name w:val="Ju_Initialled"/>
    <w:basedOn w:val="Normale"/>
    <w:uiPriority w:val="31"/>
    <w:qFormat/>
    <w:rsid w:val="00437BB9"/>
    <w:pPr>
      <w:tabs>
        <w:tab w:val="center" w:pos="6407"/>
      </w:tabs>
      <w:spacing w:before="720"/>
      <w:jc w:val="right"/>
    </w:pPr>
    <w:rPr>
      <w:lang w:val="en-GB"/>
    </w:rPr>
  </w:style>
  <w:style w:type="paragraph" w:customStyle="1" w:styleId="OpiHA">
    <w:name w:val="Opi_H_A"/>
    <w:basedOn w:val="ECHRHeading1"/>
    <w:next w:val="OpiPara"/>
    <w:uiPriority w:val="41"/>
    <w:qFormat/>
    <w:rsid w:val="00437BB9"/>
    <w:pPr>
      <w:tabs>
        <w:tab w:val="clear" w:pos="357"/>
      </w:tabs>
      <w:outlineLvl w:val="1"/>
    </w:pPr>
    <w:rPr>
      <w:b/>
    </w:rPr>
  </w:style>
  <w:style w:type="paragraph" w:styleId="Intestazione">
    <w:name w:val="header"/>
    <w:basedOn w:val="Normale"/>
    <w:link w:val="IntestazioneCarattere"/>
    <w:uiPriority w:val="57"/>
    <w:semiHidden/>
    <w:rsid w:val="00D65A3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65A33"/>
    <w:rPr>
      <w:sz w:val="24"/>
    </w:rPr>
  </w:style>
  <w:style w:type="character" w:customStyle="1" w:styleId="Titolo1Carattere">
    <w:name w:val="Titolo 1 Carattere"/>
    <w:basedOn w:val="Carpredefinitoparagrafo"/>
    <w:link w:val="Titolo1"/>
    <w:uiPriority w:val="99"/>
    <w:semiHidden/>
    <w:rsid w:val="00D65A33"/>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link w:val="JuHIRomanChar"/>
    <w:uiPriority w:val="19"/>
    <w:qFormat/>
    <w:rsid w:val="00437BB9"/>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Titolo2"/>
    <w:next w:val="ECHRPara"/>
    <w:uiPriority w:val="20"/>
    <w:qFormat/>
    <w:rsid w:val="00437BB9"/>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D65A33"/>
    <w:rPr>
      <w:rFonts w:asciiTheme="majorHAnsi" w:eastAsiaTheme="majorEastAsia" w:hAnsiTheme="majorHAnsi" w:cstheme="majorBidi"/>
      <w:b/>
      <w:bCs/>
      <w:color w:val="4D4D4D"/>
      <w:sz w:val="26"/>
      <w:szCs w:val="26"/>
    </w:rPr>
  </w:style>
  <w:style w:type="character" w:customStyle="1" w:styleId="JUNAMES">
    <w:name w:val="JU_NAMES"/>
    <w:uiPriority w:val="17"/>
    <w:qFormat/>
    <w:rsid w:val="00437BB9"/>
    <w:rPr>
      <w:caps w:val="0"/>
      <w:smallCaps/>
    </w:rPr>
  </w:style>
  <w:style w:type="paragraph" w:customStyle="1" w:styleId="ECHRDecisionBody">
    <w:name w:val="ECHR_Decision_Body"/>
    <w:aliases w:val="Ju_Judges"/>
    <w:basedOn w:val="Normale"/>
    <w:uiPriority w:val="11"/>
    <w:qFormat/>
    <w:rsid w:val="00437BB9"/>
    <w:pPr>
      <w:tabs>
        <w:tab w:val="left" w:pos="567"/>
        <w:tab w:val="left" w:pos="1134"/>
      </w:tabs>
      <w:jc w:val="left"/>
    </w:pPr>
    <w:rPr>
      <w:lang w:val="en-GB"/>
    </w:rPr>
  </w:style>
  <w:style w:type="character" w:customStyle="1" w:styleId="Titolo3Carattere">
    <w:name w:val="Titolo 3 Carattere"/>
    <w:basedOn w:val="Carpredefinitoparagrafo"/>
    <w:link w:val="Titolo3"/>
    <w:uiPriority w:val="99"/>
    <w:semiHidden/>
    <w:rsid w:val="00D65A33"/>
    <w:rPr>
      <w:rFonts w:asciiTheme="majorHAnsi" w:eastAsiaTheme="majorEastAsia" w:hAnsiTheme="majorHAnsi" w:cstheme="majorBidi"/>
      <w:b/>
      <w:bCs/>
      <w:color w:val="5F5F5F"/>
      <w:sz w:val="24"/>
    </w:rPr>
  </w:style>
  <w:style w:type="paragraph" w:customStyle="1" w:styleId="ECHRPara">
    <w:name w:val="ECHR_Para"/>
    <w:aliases w:val="Ju_Para"/>
    <w:basedOn w:val="Normale"/>
    <w:uiPriority w:val="12"/>
    <w:qFormat/>
    <w:rsid w:val="00437BB9"/>
    <w:pPr>
      <w:ind w:firstLine="284"/>
    </w:pPr>
    <w:rPr>
      <w:lang w:val="en-GB"/>
    </w:rPr>
  </w:style>
  <w:style w:type="character" w:customStyle="1" w:styleId="Titolo4Carattere">
    <w:name w:val="Titolo 4 Carattere"/>
    <w:basedOn w:val="Carpredefinitoparagrafo"/>
    <w:link w:val="Titolo4"/>
    <w:uiPriority w:val="99"/>
    <w:semiHidden/>
    <w:rsid w:val="00D65A33"/>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437BB9"/>
    <w:rPr>
      <w:rFonts w:asciiTheme="majorHAnsi" w:eastAsiaTheme="majorEastAsia" w:hAnsiTheme="majorHAnsi" w:cstheme="majorBidi"/>
      <w:b/>
      <w:bCs/>
      <w:color w:val="808080"/>
    </w:rPr>
  </w:style>
  <w:style w:type="character" w:styleId="Enfasidelicata">
    <w:name w:val="Subtle Emphasis"/>
    <w:uiPriority w:val="99"/>
    <w:semiHidden/>
    <w:qFormat/>
    <w:rsid w:val="00437BB9"/>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437BB9"/>
    <w:pPr>
      <w:keepNext/>
      <w:keepLines/>
      <w:spacing w:before="720" w:after="240"/>
      <w:outlineLvl w:val="0"/>
    </w:pPr>
    <w:rPr>
      <w:rFonts w:asciiTheme="majorHAnsi" w:hAnsiTheme="majorHAnsi"/>
      <w:sz w:val="28"/>
      <w:lang w:val="en-GB"/>
    </w:rPr>
  </w:style>
  <w:style w:type="character" w:styleId="Enfasicorsivo">
    <w:name w:val="Emphasis"/>
    <w:uiPriority w:val="99"/>
    <w:semiHidden/>
    <w:qFormat/>
    <w:rsid w:val="00437BB9"/>
    <w:rPr>
      <w:b/>
      <w:bCs/>
      <w:i/>
      <w:iCs/>
      <w:spacing w:val="10"/>
      <w:bdr w:val="none" w:sz="0" w:space="0" w:color="auto"/>
      <w:shd w:val="clear" w:color="auto" w:fill="auto"/>
    </w:rPr>
  </w:style>
  <w:style w:type="paragraph" w:styleId="Pidipagina">
    <w:name w:val="footer"/>
    <w:basedOn w:val="Normale"/>
    <w:link w:val="PidipaginaCarattere"/>
    <w:uiPriority w:val="57"/>
    <w:semiHidden/>
    <w:rsid w:val="00D65A3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65A33"/>
    <w:rPr>
      <w:sz w:val="24"/>
    </w:rPr>
  </w:style>
  <w:style w:type="character" w:styleId="Rimandonotaapidipagina">
    <w:name w:val="footnote reference"/>
    <w:basedOn w:val="Carpredefinitoparagrafo"/>
    <w:uiPriority w:val="99"/>
    <w:semiHidden/>
    <w:rsid w:val="00D65A33"/>
    <w:rPr>
      <w:vertAlign w:val="superscript"/>
    </w:rPr>
  </w:style>
  <w:style w:type="paragraph" w:styleId="Testonotaapidipagina">
    <w:name w:val="footnote text"/>
    <w:basedOn w:val="Normale"/>
    <w:link w:val="TestonotaapidipaginaCarattere"/>
    <w:uiPriority w:val="99"/>
    <w:semiHidden/>
    <w:rsid w:val="00D65A33"/>
    <w:rPr>
      <w:sz w:val="20"/>
      <w:szCs w:val="20"/>
    </w:rPr>
  </w:style>
  <w:style w:type="character" w:customStyle="1" w:styleId="TestonotaapidipaginaCarattere">
    <w:name w:val="Testo nota a piè di pagina Carattere"/>
    <w:basedOn w:val="Carpredefinitoparagrafo"/>
    <w:link w:val="Testonotaapidipagina"/>
    <w:uiPriority w:val="99"/>
    <w:semiHidden/>
    <w:rsid w:val="00D65A33"/>
    <w:rPr>
      <w:rFonts w:eastAsiaTheme="minorEastAsia"/>
      <w:sz w:val="20"/>
      <w:szCs w:val="20"/>
    </w:rPr>
  </w:style>
  <w:style w:type="character" w:customStyle="1" w:styleId="Titolo6Carattere">
    <w:name w:val="Titolo 6 Carattere"/>
    <w:basedOn w:val="Carpredefinitoparagrafo"/>
    <w:link w:val="Titolo6"/>
    <w:uiPriority w:val="99"/>
    <w:semiHidden/>
    <w:rsid w:val="00D65A33"/>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437BB9"/>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BB9"/>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BB9"/>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65A33"/>
    <w:rPr>
      <w:color w:val="0072BC" w:themeColor="hyperlink"/>
      <w:u w:val="single"/>
    </w:rPr>
  </w:style>
  <w:style w:type="character" w:styleId="Enfasiintensa">
    <w:name w:val="Intense Emphasis"/>
    <w:uiPriority w:val="99"/>
    <w:semiHidden/>
    <w:qFormat/>
    <w:rsid w:val="00437BB9"/>
    <w:rPr>
      <w:b/>
      <w:bCs/>
    </w:rPr>
  </w:style>
  <w:style w:type="paragraph" w:styleId="Citazioneintensa">
    <w:name w:val="Intense Quote"/>
    <w:basedOn w:val="Normale"/>
    <w:next w:val="Normale"/>
    <w:link w:val="CitazioneintensaCarattere"/>
    <w:uiPriority w:val="99"/>
    <w:semiHidden/>
    <w:qFormat/>
    <w:rsid w:val="00437BB9"/>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437BB9"/>
    <w:rPr>
      <w:rFonts w:eastAsiaTheme="minorEastAsia"/>
      <w:b/>
      <w:bCs/>
      <w:i/>
      <w:iCs/>
      <w:lang w:bidi="en-US"/>
    </w:rPr>
  </w:style>
  <w:style w:type="character" w:styleId="Riferimentointenso">
    <w:name w:val="Intense Reference"/>
    <w:uiPriority w:val="99"/>
    <w:semiHidden/>
    <w:qFormat/>
    <w:rsid w:val="00437BB9"/>
    <w:rPr>
      <w:smallCaps/>
      <w:spacing w:val="5"/>
      <w:u w:val="single"/>
    </w:rPr>
  </w:style>
  <w:style w:type="paragraph" w:styleId="Paragrafoelenco">
    <w:name w:val="List Paragraph"/>
    <w:basedOn w:val="Normale"/>
    <w:uiPriority w:val="99"/>
    <w:semiHidden/>
    <w:qFormat/>
    <w:rsid w:val="00437BB9"/>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BB9"/>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437BB9"/>
    <w:rPr>
      <w:rFonts w:eastAsiaTheme="minorEastAsia"/>
      <w:i/>
      <w:iCs/>
      <w:lang w:bidi="en-US"/>
    </w:rPr>
  </w:style>
  <w:style w:type="character" w:styleId="Riferimentodelicato">
    <w:name w:val="Subtle Reference"/>
    <w:uiPriority w:val="99"/>
    <w:semiHidden/>
    <w:qFormat/>
    <w:rsid w:val="00437BB9"/>
    <w:rPr>
      <w:smallCaps/>
    </w:rPr>
  </w:style>
  <w:style w:type="table" w:styleId="Grigliatabella">
    <w:name w:val="Table Grid"/>
    <w:basedOn w:val="Tabellanormale"/>
    <w:uiPriority w:val="59"/>
    <w:semiHidden/>
    <w:rsid w:val="00D65A3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65A3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65A3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65A3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65A3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65A3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BB9"/>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65A3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437BB9"/>
    <w:pPr>
      <w:spacing w:before="120" w:after="120"/>
      <w:ind w:left="425" w:firstLine="142"/>
    </w:pPr>
    <w:rPr>
      <w:sz w:val="20"/>
      <w:lang w:val="en-GB"/>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65A3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437BB9"/>
    <w:pPr>
      <w:tabs>
        <w:tab w:val="center" w:pos="851"/>
        <w:tab w:val="center" w:pos="6407"/>
      </w:tabs>
      <w:spacing w:before="720"/>
      <w:jc w:val="left"/>
    </w:pPr>
    <w:rPr>
      <w:lang w:val="en-GB"/>
    </w:rPr>
  </w:style>
  <w:style w:type="paragraph" w:customStyle="1" w:styleId="JuParaLast">
    <w:name w:val="Ju_Para_Last"/>
    <w:basedOn w:val="Normale"/>
    <w:next w:val="ECHRPara"/>
    <w:uiPriority w:val="30"/>
    <w:qFormat/>
    <w:rsid w:val="00437BB9"/>
    <w:pPr>
      <w:keepNext/>
      <w:keepLines/>
      <w:spacing w:before="240"/>
      <w:ind w:firstLine="284"/>
    </w:pPr>
    <w:rPr>
      <w:lang w:val="en-GB"/>
    </w:rPr>
  </w:style>
  <w:style w:type="paragraph" w:customStyle="1" w:styleId="JuCase">
    <w:name w:val="Ju_Case"/>
    <w:basedOn w:val="Normale"/>
    <w:next w:val="ECHRPara"/>
    <w:uiPriority w:val="10"/>
    <w:rsid w:val="00D65A33"/>
    <w:pPr>
      <w:ind w:firstLine="284"/>
    </w:pPr>
    <w:rPr>
      <w:b/>
    </w:rPr>
  </w:style>
  <w:style w:type="paragraph" w:customStyle="1" w:styleId="JuList">
    <w:name w:val="Ju_List"/>
    <w:basedOn w:val="Normale"/>
    <w:uiPriority w:val="28"/>
    <w:qFormat/>
    <w:rsid w:val="00437BB9"/>
    <w:pPr>
      <w:ind w:left="340" w:hanging="340"/>
    </w:pPr>
    <w:rPr>
      <w:lang w:val="en-GB"/>
    </w:rPr>
  </w:style>
  <w:style w:type="character" w:customStyle="1" w:styleId="JuITMark">
    <w:name w:val="Ju_ITMark"/>
    <w:basedOn w:val="Carpredefinitoparagrafo"/>
    <w:uiPriority w:val="38"/>
    <w:qFormat/>
    <w:rsid w:val="00437BB9"/>
    <w:rPr>
      <w:vanish w:val="0"/>
      <w:color w:val="auto"/>
      <w:sz w:val="14"/>
      <w:bdr w:val="none" w:sz="0" w:space="0" w:color="auto"/>
      <w:shd w:val="clear" w:color="auto" w:fill="BEE5FF" w:themeFill="background1" w:themeFillTint="33"/>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437BB9"/>
    <w:pPr>
      <w:ind w:left="346" w:firstLine="0"/>
    </w:pPr>
  </w:style>
  <w:style w:type="paragraph" w:customStyle="1" w:styleId="JuListi">
    <w:name w:val="Ju_List_i"/>
    <w:basedOn w:val="Normale"/>
    <w:next w:val="JuLista"/>
    <w:uiPriority w:val="28"/>
    <w:qFormat/>
    <w:rsid w:val="00437BB9"/>
    <w:pPr>
      <w:ind w:left="794"/>
    </w:pPr>
    <w:rPr>
      <w:lang w:val="en-GB"/>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437BB9"/>
    <w:pPr>
      <w:jc w:val="center"/>
      <w:outlineLvl w:val="0"/>
    </w:pPr>
    <w:rPr>
      <w:i/>
      <w:lang w:val="en-GB"/>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semiHidden/>
    <w:qFormat/>
    <w:rsid w:val="00437BB9"/>
  </w:style>
  <w:style w:type="paragraph" w:styleId="Sottotitolo">
    <w:name w:val="Subtitle"/>
    <w:basedOn w:val="Normale"/>
    <w:next w:val="Normale"/>
    <w:link w:val="SottotitoloCarattere"/>
    <w:uiPriority w:val="99"/>
    <w:semiHidden/>
    <w:qFormat/>
    <w:rsid w:val="00437BB9"/>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437BB9"/>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D65A3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65A3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65A3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437BB9"/>
    <w:pPr>
      <w:tabs>
        <w:tab w:val="left" w:pos="907"/>
        <w:tab w:val="left" w:pos="1701"/>
        <w:tab w:val="right" w:pos="7371"/>
      </w:tabs>
      <w:spacing w:before="240"/>
      <w:ind w:left="397" w:hanging="397"/>
      <w:jc w:val="left"/>
    </w:pPr>
    <w:rPr>
      <w:lang w:val="en-GB" w:bidi="en-US"/>
    </w:rPr>
  </w:style>
  <w:style w:type="paragraph" w:customStyle="1" w:styleId="DecList">
    <w:name w:val="Dec_List"/>
    <w:basedOn w:val="Normale"/>
    <w:uiPriority w:val="9"/>
    <w:semiHidden/>
    <w:qFormat/>
    <w:rsid w:val="00437BB9"/>
    <w:pPr>
      <w:spacing w:before="240"/>
      <w:ind w:left="284"/>
    </w:pPr>
    <w:rPr>
      <w:lang w:val="en-GB"/>
    </w:rPr>
  </w:style>
  <w:style w:type="paragraph" w:customStyle="1" w:styleId="OpiH1">
    <w:name w:val="Opi_H_1"/>
    <w:basedOn w:val="ECHRHeading2"/>
    <w:uiPriority w:val="42"/>
    <w:qFormat/>
    <w:rsid w:val="00437BB9"/>
    <w:pPr>
      <w:ind w:left="635" w:hanging="357"/>
      <w:outlineLvl w:val="2"/>
    </w:pPr>
  </w:style>
  <w:style w:type="paragraph" w:customStyle="1" w:styleId="OpiHa0">
    <w:name w:val="Opi_H_a"/>
    <w:basedOn w:val="ECHRHeading3"/>
    <w:uiPriority w:val="43"/>
    <w:qFormat/>
    <w:rsid w:val="00437BB9"/>
    <w:pPr>
      <w:ind w:left="833" w:hanging="357"/>
      <w:outlineLvl w:val="3"/>
    </w:pPr>
    <w:rPr>
      <w:b/>
      <w:i w:val="0"/>
      <w:sz w:val="20"/>
    </w:rPr>
  </w:style>
  <w:style w:type="paragraph" w:customStyle="1" w:styleId="OpiHi">
    <w:name w:val="Opi_H_i"/>
    <w:basedOn w:val="ECHRHeading4"/>
    <w:uiPriority w:val="44"/>
    <w:qFormat/>
    <w:rsid w:val="00437BB9"/>
    <w:pPr>
      <w:ind w:left="1037" w:hanging="357"/>
      <w:outlineLvl w:val="4"/>
    </w:pPr>
    <w:rPr>
      <w:b w:val="0"/>
      <w:i/>
    </w:rPr>
  </w:style>
  <w:style w:type="paragraph" w:customStyle="1" w:styleId="DummyStyle">
    <w:name w:val="Dummy_Style"/>
    <w:basedOn w:val="Normale"/>
    <w:semiHidden/>
    <w:qFormat/>
    <w:rsid w:val="00437BB9"/>
    <w:rPr>
      <w:color w:val="00B050"/>
      <w:lang w:val="en-GB"/>
    </w:rPr>
  </w:style>
  <w:style w:type="paragraph" w:customStyle="1" w:styleId="JuHeaderLandscape">
    <w:name w:val="Ju_Header_Landscape"/>
    <w:basedOn w:val="ECHRHeader"/>
    <w:uiPriority w:val="4"/>
    <w:qFormat/>
    <w:rsid w:val="00437BB9"/>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JuHIRomanChar">
    <w:name w:val="Ju_H_I_Roman Char"/>
    <w:link w:val="ECHRHeading1"/>
    <w:uiPriority w:val="19"/>
    <w:rsid w:val="00011496"/>
    <w:rPr>
      <w:rFonts w:asciiTheme="majorHAnsi" w:eastAsiaTheme="majorEastAsia" w:hAnsiTheme="majorHAnsi" w:cstheme="majorBidi"/>
      <w:bCs/>
      <w:sz w:val="24"/>
      <w:szCs w:val="28"/>
      <w:lang w:val="en-GB"/>
    </w:rPr>
  </w:style>
  <w:style w:type="character" w:customStyle="1" w:styleId="JuHaChar">
    <w:name w:val="Ju_H_a Char"/>
    <w:basedOn w:val="Carpredefinitoparagrafo"/>
    <w:link w:val="ECHRHeading4"/>
    <w:uiPriority w:val="22"/>
    <w:rsid w:val="003F4338"/>
    <w:rPr>
      <w:rFonts w:asciiTheme="majorHAnsi" w:eastAsiaTheme="majorEastAsia" w:hAnsiTheme="majorHAnsi" w:cstheme="majorBidi"/>
      <w:b/>
      <w:bCs/>
      <w:iCs/>
      <w:sz w:val="20"/>
      <w:lang w:val="en-GB"/>
    </w:rPr>
  </w:style>
  <w:style w:type="paragraph" w:styleId="Revisione">
    <w:name w:val="Revision"/>
    <w:hidden/>
    <w:uiPriority w:val="99"/>
    <w:semiHidden/>
    <w:rsid w:val="00C5571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78432">
      <w:bodyDiv w:val="1"/>
      <w:marLeft w:val="0"/>
      <w:marRight w:val="0"/>
      <w:marTop w:val="0"/>
      <w:marBottom w:val="0"/>
      <w:divBdr>
        <w:top w:val="none" w:sz="0" w:space="0" w:color="auto"/>
        <w:left w:val="none" w:sz="0" w:space="0" w:color="auto"/>
        <w:bottom w:val="none" w:sz="0" w:space="0" w:color="auto"/>
        <w:right w:val="none" w:sz="0" w:space="0" w:color="auto"/>
      </w:divBdr>
      <w:divsChild>
        <w:div w:id="1702321993">
          <w:marLeft w:val="0"/>
          <w:marRight w:val="0"/>
          <w:marTop w:val="0"/>
          <w:marBottom w:val="0"/>
          <w:divBdr>
            <w:top w:val="none" w:sz="0" w:space="0" w:color="auto"/>
            <w:left w:val="none" w:sz="0" w:space="0" w:color="auto"/>
            <w:bottom w:val="none" w:sz="0" w:space="0" w:color="auto"/>
            <w:right w:val="none" w:sz="0" w:space="0" w:color="auto"/>
          </w:divBdr>
          <w:divsChild>
            <w:div w:id="437912455">
              <w:marLeft w:val="0"/>
              <w:marRight w:val="0"/>
              <w:marTop w:val="0"/>
              <w:marBottom w:val="0"/>
              <w:divBdr>
                <w:top w:val="none" w:sz="0" w:space="0" w:color="auto"/>
                <w:left w:val="none" w:sz="0" w:space="0" w:color="auto"/>
                <w:bottom w:val="none" w:sz="0" w:space="0" w:color="auto"/>
                <w:right w:val="none" w:sz="0" w:space="0" w:color="auto"/>
              </w:divBdr>
              <w:divsChild>
                <w:div w:id="1030640630">
                  <w:marLeft w:val="0"/>
                  <w:marRight w:val="0"/>
                  <w:marTop w:val="0"/>
                  <w:marBottom w:val="0"/>
                  <w:divBdr>
                    <w:top w:val="none" w:sz="0" w:space="0" w:color="auto"/>
                    <w:left w:val="none" w:sz="0" w:space="0" w:color="auto"/>
                    <w:bottom w:val="none" w:sz="0" w:space="0" w:color="auto"/>
                    <w:right w:val="none" w:sz="0" w:space="0" w:color="auto"/>
                  </w:divBdr>
                  <w:divsChild>
                    <w:div w:id="752509100">
                      <w:marLeft w:val="0"/>
                      <w:marRight w:val="0"/>
                      <w:marTop w:val="0"/>
                      <w:marBottom w:val="0"/>
                      <w:divBdr>
                        <w:top w:val="none" w:sz="0" w:space="0" w:color="auto"/>
                        <w:left w:val="none" w:sz="0" w:space="0" w:color="auto"/>
                        <w:bottom w:val="none" w:sz="0" w:space="0" w:color="auto"/>
                        <w:right w:val="none" w:sz="0" w:space="0" w:color="auto"/>
                      </w:divBdr>
                      <w:divsChild>
                        <w:div w:id="816924064">
                          <w:marLeft w:val="0"/>
                          <w:marRight w:val="0"/>
                          <w:marTop w:val="0"/>
                          <w:marBottom w:val="0"/>
                          <w:divBdr>
                            <w:top w:val="none" w:sz="0" w:space="0" w:color="auto"/>
                            <w:left w:val="none" w:sz="0" w:space="0" w:color="auto"/>
                            <w:bottom w:val="none" w:sz="0" w:space="0" w:color="auto"/>
                            <w:right w:val="none" w:sz="0" w:space="0" w:color="auto"/>
                          </w:divBdr>
                          <w:divsChild>
                            <w:div w:id="15534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118450832">
      <w:bodyDiv w:val="1"/>
      <w:marLeft w:val="0"/>
      <w:marRight w:val="0"/>
      <w:marTop w:val="0"/>
      <w:marBottom w:val="0"/>
      <w:divBdr>
        <w:top w:val="none" w:sz="0" w:space="0" w:color="auto"/>
        <w:left w:val="none" w:sz="0" w:space="0" w:color="auto"/>
        <w:bottom w:val="none" w:sz="0" w:space="0" w:color="auto"/>
        <w:right w:val="none" w:sz="0" w:space="0" w:color="auto"/>
      </w:divBdr>
      <w:divsChild>
        <w:div w:id="1802721111">
          <w:marLeft w:val="0"/>
          <w:marRight w:val="0"/>
          <w:marTop w:val="0"/>
          <w:marBottom w:val="0"/>
          <w:divBdr>
            <w:top w:val="none" w:sz="0" w:space="0" w:color="auto"/>
            <w:left w:val="none" w:sz="0" w:space="0" w:color="auto"/>
            <w:bottom w:val="none" w:sz="0" w:space="0" w:color="auto"/>
            <w:right w:val="none" w:sz="0" w:space="0" w:color="auto"/>
          </w:divBdr>
          <w:divsChild>
            <w:div w:id="38667904">
              <w:marLeft w:val="0"/>
              <w:marRight w:val="0"/>
              <w:marTop w:val="0"/>
              <w:marBottom w:val="0"/>
              <w:divBdr>
                <w:top w:val="none" w:sz="0" w:space="0" w:color="auto"/>
                <w:left w:val="none" w:sz="0" w:space="0" w:color="auto"/>
                <w:bottom w:val="none" w:sz="0" w:space="0" w:color="auto"/>
                <w:right w:val="none" w:sz="0" w:space="0" w:color="auto"/>
              </w:divBdr>
              <w:divsChild>
                <w:div w:id="571165187">
                  <w:marLeft w:val="0"/>
                  <w:marRight w:val="0"/>
                  <w:marTop w:val="0"/>
                  <w:marBottom w:val="0"/>
                  <w:divBdr>
                    <w:top w:val="none" w:sz="0" w:space="0" w:color="auto"/>
                    <w:left w:val="none" w:sz="0" w:space="0" w:color="auto"/>
                    <w:bottom w:val="none" w:sz="0" w:space="0" w:color="auto"/>
                    <w:right w:val="none" w:sz="0" w:space="0" w:color="auto"/>
                  </w:divBdr>
                  <w:divsChild>
                    <w:div w:id="1786656299">
                      <w:marLeft w:val="0"/>
                      <w:marRight w:val="0"/>
                      <w:marTop w:val="0"/>
                      <w:marBottom w:val="0"/>
                      <w:divBdr>
                        <w:top w:val="none" w:sz="0" w:space="0" w:color="auto"/>
                        <w:left w:val="none" w:sz="0" w:space="0" w:color="auto"/>
                        <w:bottom w:val="none" w:sz="0" w:space="0" w:color="auto"/>
                        <w:right w:val="none" w:sz="0" w:space="0" w:color="auto"/>
                      </w:divBdr>
                      <w:divsChild>
                        <w:div w:id="1714310976">
                          <w:marLeft w:val="0"/>
                          <w:marRight w:val="0"/>
                          <w:marTop w:val="0"/>
                          <w:marBottom w:val="0"/>
                          <w:divBdr>
                            <w:top w:val="none" w:sz="0" w:space="0" w:color="auto"/>
                            <w:left w:val="none" w:sz="0" w:space="0" w:color="auto"/>
                            <w:bottom w:val="none" w:sz="0" w:space="0" w:color="auto"/>
                            <w:right w:val="none" w:sz="0" w:space="0" w:color="auto"/>
                          </w:divBdr>
                          <w:divsChild>
                            <w:div w:id="8830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35BE-5351-4C99-86AB-2ED7D44B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8F7909-6838-43EB-AD52-BD71519C4F2B}">
  <ds:schemaRefs>
    <ds:schemaRef ds:uri="http://schemas.microsoft.com/sharepoint/v3/contenttype/forms"/>
  </ds:schemaRefs>
</ds:datastoreItem>
</file>

<file path=customXml/itemProps3.xml><?xml version="1.0" encoding="utf-8"?>
<ds:datastoreItem xmlns:ds="http://schemas.openxmlformats.org/officeDocument/2006/customXml" ds:itemID="{660EC12D-F7E7-4BCB-8B81-5EBDAE576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06B4D-8D0D-4175-880D-D65101E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3258</Words>
  <Characters>18571</Characters>
  <Application>Microsoft Office Word</Application>
  <DocSecurity>0</DocSecurity>
  <Lines>154</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dcterms:created xsi:type="dcterms:W3CDTF">2017-11-16T14:58:00Z</dcterms:created>
  <dcterms:modified xsi:type="dcterms:W3CDTF">2017-11-16T14:58:00Z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17527/05</vt:lpwstr>
  </property>
  <property fmtid="{D5CDD505-2E9C-101B-9397-08002B2CF9AE}" pid="4" name="CASEID">
    <vt:lpwstr>347753</vt:lpwstr>
  </property>
  <property fmtid="{D5CDD505-2E9C-101B-9397-08002B2CF9AE}" pid="5" name="ContentTypeId">
    <vt:lpwstr>0x010100558EB02BDB9E204AB350EDD385B68E10</vt:lpwstr>
  </property>
</Properties>
</file>